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B3045">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bookmarkStart w:id="2" w:name="_Toc92513360"/>
      <w:bookmarkStart w:id="3" w:name="_Ref399006623"/>
      <w:r>
        <w:rPr>
          <w:rFonts w:ascii="Arial" w:hAnsi="Arial" w:eastAsia="宋体" w:cs="Arial"/>
          <w:b/>
          <w:kern w:val="0"/>
          <w:sz w:val="24"/>
          <w:szCs w:val="24"/>
          <w:lang w:val="en-US" w:eastAsia="zh-CN" w:bidi="ar-SA"/>
        </w:rPr>
        <w:t>3GPP TSG-RAN WG4 Meeting #113</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R4-2417941</w:t>
      </w:r>
    </w:p>
    <w:p w14:paraId="2A84557B">
      <w:pPr>
        <w:spacing w:before="60" w:after="60"/>
        <w:outlineLvl w:val="0"/>
        <w:rPr>
          <w:rFonts w:ascii="Arial" w:hAnsi="Arial" w:eastAsia="宋体" w:cs="Arial"/>
          <w:b/>
          <w:kern w:val="0"/>
          <w:sz w:val="24"/>
          <w:szCs w:val="24"/>
        </w:rPr>
      </w:pPr>
      <w:r>
        <w:rPr>
          <w:rFonts w:ascii="Arial" w:hAnsi="Arial" w:eastAsia="宋体" w:cs="Arial"/>
          <w:b/>
          <w:kern w:val="0"/>
          <w:sz w:val="24"/>
          <w:szCs w:val="24"/>
          <w:lang w:val="en-US" w:eastAsia="zh-CN" w:bidi="ar-SA"/>
        </w:rPr>
        <w:t>Orlando, US, 18</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22</w:t>
      </w:r>
      <w:r>
        <w:rPr>
          <w:rFonts w:ascii="Arial" w:hAnsi="Arial" w:eastAsia="宋体" w:cs="Arial"/>
          <w:b/>
          <w:kern w:val="0"/>
          <w:sz w:val="24"/>
          <w:szCs w:val="24"/>
          <w:vertAlign w:val="superscript"/>
          <w:lang w:val="en-US" w:eastAsia="zh-CN" w:bidi="ar-SA"/>
        </w:rPr>
        <w:t>nd</w:t>
      </w:r>
      <w:r>
        <w:rPr>
          <w:rFonts w:ascii="Arial" w:hAnsi="Arial" w:eastAsia="宋体" w:cs="Arial"/>
          <w:b/>
          <w:kern w:val="0"/>
          <w:sz w:val="24"/>
          <w:szCs w:val="24"/>
          <w:lang w:val="en-US" w:eastAsia="zh-CN" w:bidi="ar-SA"/>
        </w:rPr>
        <w:t xml:space="preserve"> November, 2024</w:t>
      </w:r>
    </w:p>
    <w:p w14:paraId="27E9E2CA">
      <w:pPr>
        <w:overflowPunct w:val="0"/>
        <w:autoSpaceDE w:val="0"/>
        <w:autoSpaceDN w:val="0"/>
        <w:adjustRightInd w:val="0"/>
        <w:textAlignment w:val="baseline"/>
        <w:rPr>
          <w:rFonts w:ascii="Arial" w:hAnsi="Arial" w:eastAsia="宋体" w:cs="Times New Roman"/>
          <w:b/>
          <w:bCs/>
          <w:kern w:val="0"/>
          <w:sz w:val="24"/>
          <w:szCs w:val="21"/>
          <w:lang w:val="en-GB"/>
        </w:rPr>
      </w:pPr>
    </w:p>
    <w:p w14:paraId="3AF97CC0">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79193F35">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lang w:val="en-US" w:eastAsia="zh-CN"/>
        </w:rPr>
        <w:t>D</w:t>
      </w:r>
      <w:r>
        <w:rPr>
          <w:rFonts w:hint="eastAsia" w:ascii="Arial" w:hAnsi="Arial" w:cs="Arial"/>
          <w:sz w:val="24"/>
          <w:szCs w:val="24"/>
        </w:rPr>
        <w:t>iscussion on Study of testability and interoperability for AI</w:t>
      </w:r>
      <w:r>
        <w:rPr>
          <w:rFonts w:hint="eastAsia" w:ascii="Arial" w:hAnsi="Arial" w:cs="Arial"/>
          <w:sz w:val="24"/>
          <w:szCs w:val="24"/>
          <w:lang w:val="en-US" w:eastAsia="zh-CN"/>
        </w:rPr>
        <w:t>/</w:t>
      </w:r>
      <w:r>
        <w:rPr>
          <w:rFonts w:hint="eastAsia" w:ascii="Arial" w:hAnsi="Arial" w:cs="Arial"/>
          <w:sz w:val="24"/>
          <w:szCs w:val="24"/>
        </w:rPr>
        <w:t>ML mobility</w:t>
      </w:r>
    </w:p>
    <w:p w14:paraId="3B0D6831">
      <w:pPr>
        <w:ind w:left="1985" w:hanging="1985"/>
        <w:rPr>
          <w:rFonts w:hint="default"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7</w:t>
      </w:r>
      <w:r>
        <w:rPr>
          <w:rFonts w:hint="eastAsia" w:ascii="Arial" w:hAnsi="Arial" w:cs="Arial"/>
          <w:sz w:val="24"/>
          <w:szCs w:val="24"/>
        </w:rPr>
        <w:t>.18.3</w:t>
      </w:r>
    </w:p>
    <w:p w14:paraId="772CCDC6">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68D8F42D">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3B9A9C0C">
      <w:pPr>
        <w:spacing w:before="120" w:beforeLines="50" w:after="120" w:afterLines="50"/>
        <w:rPr>
          <w:rFonts w:hint="default" w:ascii="Times New Roman" w:hAnsi="Times New Roman" w:eastAsia="MS Mincho" w:cs="Times New Roman"/>
          <w:kern w:val="0"/>
          <w:sz w:val="20"/>
          <w:szCs w:val="20"/>
          <w:lang w:val="en-US" w:eastAsia="zh-CN"/>
        </w:rPr>
      </w:pPr>
      <w:r>
        <w:rPr>
          <w:rFonts w:hint="default" w:ascii="Times New Roman" w:hAnsi="Times New Roman" w:eastAsia="MS Mincho" w:cs="Times New Roman"/>
          <w:kern w:val="0"/>
          <w:sz w:val="20"/>
          <w:szCs w:val="20"/>
          <w:lang w:val="en-GB" w:eastAsia="ja-JP"/>
        </w:rPr>
        <w:t>In the last RAN4#112</w:t>
      </w:r>
      <w:r>
        <w:rPr>
          <w:rFonts w:hint="eastAsia" w:ascii="Times New Roman" w:hAnsi="Times New Roman" w:eastAsia="宋体" w:cs="Times New Roman"/>
          <w:kern w:val="0"/>
          <w:sz w:val="20"/>
          <w:szCs w:val="20"/>
          <w:lang w:val="en-US" w:eastAsia="zh-CN"/>
        </w:rPr>
        <w:t>bis</w:t>
      </w:r>
      <w:r>
        <w:rPr>
          <w:rFonts w:hint="default" w:ascii="Times New Roman" w:hAnsi="Times New Roman" w:eastAsia="MS Mincho" w:cs="Times New Roman"/>
          <w:kern w:val="0"/>
          <w:sz w:val="20"/>
          <w:szCs w:val="20"/>
          <w:lang w:val="en-GB" w:eastAsia="ja-JP"/>
        </w:rPr>
        <w:t xml:space="preserve"> meeting, an initial discussion </w:t>
      </w:r>
      <w:r>
        <w:rPr>
          <w:rFonts w:hint="eastAsia" w:ascii="Times New Roman" w:hAnsi="Times New Roman" w:eastAsia="宋体" w:cs="Times New Roman"/>
          <w:kern w:val="0"/>
          <w:sz w:val="20"/>
          <w:szCs w:val="20"/>
          <w:lang w:val="en-US" w:eastAsia="zh-CN"/>
        </w:rPr>
        <w:t xml:space="preserve">on </w:t>
      </w:r>
      <w:r>
        <w:rPr>
          <w:rFonts w:hint="default" w:ascii="Times New Roman" w:hAnsi="Times New Roman" w:eastAsia="MS Mincho" w:cs="Times New Roman"/>
          <w:kern w:val="0"/>
          <w:sz w:val="20"/>
          <w:szCs w:val="20"/>
          <w:lang w:val="en-GB" w:eastAsia="ja-JP"/>
        </w:rPr>
        <w:t>testability and interoperability for AI</w:t>
      </w:r>
      <w:r>
        <w:rPr>
          <w:rFonts w:hint="eastAsia" w:ascii="Times New Roman" w:hAnsi="Times New Roman" w:eastAsia="宋体" w:cs="Times New Roman"/>
          <w:kern w:val="0"/>
          <w:sz w:val="20"/>
          <w:szCs w:val="20"/>
          <w:lang w:val="en-US" w:eastAsia="zh-CN"/>
        </w:rPr>
        <w:t>/</w:t>
      </w:r>
      <w:r>
        <w:rPr>
          <w:rFonts w:hint="default" w:ascii="Times New Roman" w:hAnsi="Times New Roman" w:eastAsia="MS Mincho" w:cs="Times New Roman"/>
          <w:kern w:val="0"/>
          <w:sz w:val="20"/>
          <w:szCs w:val="20"/>
          <w:lang w:val="en-GB" w:eastAsia="ja-JP"/>
        </w:rPr>
        <w:t>ML mobility</w:t>
      </w:r>
      <w:r>
        <w:rPr>
          <w:rFonts w:hint="eastAsia" w:ascii="Times New Roman" w:hAnsi="Times New Roman" w:eastAsia="宋体" w:cs="Times New Roman"/>
          <w:kern w:val="0"/>
          <w:sz w:val="20"/>
          <w:szCs w:val="20"/>
          <w:lang w:val="en-US" w:eastAsia="zh-CN"/>
        </w:rPr>
        <w:t xml:space="preserve"> </w:t>
      </w:r>
      <w:r>
        <w:rPr>
          <w:rFonts w:hint="default" w:ascii="Times New Roman" w:hAnsi="Times New Roman" w:eastAsia="MS Mincho" w:cs="Times New Roman"/>
          <w:kern w:val="0"/>
          <w:sz w:val="20"/>
          <w:szCs w:val="20"/>
          <w:lang w:val="en-GB" w:eastAsia="ja-JP"/>
        </w:rPr>
        <w:t>occurred</w:t>
      </w:r>
      <w:r>
        <w:rPr>
          <w:rFonts w:hint="eastAsia" w:ascii="Times New Roman" w:hAnsi="Times New Roman" w:eastAsia="宋体" w:cs="Times New Roman"/>
          <w:kern w:val="0"/>
          <w:sz w:val="20"/>
          <w:szCs w:val="20"/>
          <w:lang w:val="en-US" w:eastAsia="zh-CN"/>
        </w:rPr>
        <w:t xml:space="preserve"> </w:t>
      </w:r>
      <w:r>
        <w:rPr>
          <w:rFonts w:hint="default" w:ascii="Times New Roman" w:hAnsi="Times New Roman" w:eastAsia="MS Mincho" w:cs="Times New Roman"/>
          <w:kern w:val="0"/>
          <w:sz w:val="20"/>
          <w:szCs w:val="20"/>
          <w:lang w:val="en-GB" w:eastAsia="ja-JP"/>
        </w:rPr>
        <w:t>and a WF was approved as detailed in [1].</w:t>
      </w:r>
      <w:r>
        <w:rPr>
          <w:rFonts w:hint="default" w:ascii="Times New Roman" w:hAnsi="Times New Roman" w:eastAsia="MS Mincho" w:cs="Times New Roman"/>
          <w:kern w:val="0"/>
          <w:sz w:val="20"/>
          <w:szCs w:val="20"/>
          <w:lang w:val="en-US" w:eastAsia="zh-CN"/>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210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EC42F94">
            <w:pPr>
              <w:spacing w:after="120"/>
              <w:ind w:left="1440" w:hanging="1440"/>
              <w:jc w:val="both"/>
              <w:rPr>
                <w:rFonts w:ascii="Times New Roman" w:hAnsi="Times New Roman" w:eastAsia="MS Mincho" w:cs="Times New Roman"/>
                <w:b/>
                <w:bCs/>
                <w:sz w:val="22"/>
                <w:szCs w:val="24"/>
                <w:u w:val="single"/>
                <w:lang w:val="en-US" w:eastAsia="zh-CN" w:bidi="ar-SA"/>
              </w:rPr>
            </w:pPr>
            <w:r>
              <w:rPr>
                <w:rFonts w:ascii="Times New Roman" w:hAnsi="Times New Roman" w:eastAsia="MS Mincho" w:cs="Times New Roman"/>
                <w:b/>
                <w:bCs/>
                <w:sz w:val="22"/>
                <w:szCs w:val="24"/>
                <w:u w:val="single"/>
                <w:lang w:val="en-US" w:eastAsia="zh-CN" w:bidi="ar-SA"/>
              </w:rPr>
              <w:t>Issue 1-1-1: Priorities of different use cases</w:t>
            </w:r>
          </w:p>
          <w:p w14:paraId="5C4B5C44">
            <w:pPr>
              <w:snapToGrid w:val="0"/>
              <w:spacing w:after="120"/>
              <w:rPr>
                <w:rFonts w:ascii="Times New Roman" w:hAnsi="Times New Roman" w:eastAsia="宋体" w:cs="Times New Roman"/>
                <w:kern w:val="0"/>
                <w:sz w:val="21"/>
                <w:szCs w:val="21"/>
                <w:highlight w:val="green"/>
                <w:lang w:eastAsia="zh-CN"/>
              </w:rPr>
            </w:pPr>
            <w:r>
              <w:rPr>
                <w:rFonts w:hint="eastAsia" w:ascii="Times New Roman" w:hAnsi="Times New Roman" w:eastAsia="宋体" w:cs="Times New Roman"/>
                <w:kern w:val="0"/>
                <w:sz w:val="21"/>
                <w:szCs w:val="21"/>
                <w:highlight w:val="green"/>
                <w:lang w:eastAsia="zh-CN"/>
              </w:rPr>
              <w:t>A</w:t>
            </w:r>
            <w:r>
              <w:rPr>
                <w:rFonts w:ascii="Times New Roman" w:hAnsi="Times New Roman" w:eastAsia="宋体" w:cs="Times New Roman"/>
                <w:kern w:val="0"/>
                <w:sz w:val="21"/>
                <w:szCs w:val="21"/>
                <w:highlight w:val="green"/>
                <w:lang w:eastAsia="zh-CN"/>
              </w:rPr>
              <w:t>greement:</w:t>
            </w:r>
          </w:p>
          <w:p w14:paraId="58469ECF">
            <w:pPr>
              <w:numPr>
                <w:ilvl w:val="1"/>
                <w:numId w:val="3"/>
              </w:numPr>
              <w:overflowPunct/>
              <w:autoSpaceDE/>
              <w:autoSpaceDN/>
              <w:adjustRightInd/>
              <w:snapToGrid w:val="0"/>
              <w:spacing w:after="120"/>
              <w:ind w:left="1656" w:hanging="360" w:firstLineChars="0"/>
              <w:textAlignment w:val="auto"/>
              <w:rPr>
                <w:rFonts w:ascii="Times New Roman" w:hAnsi="Times New Roman" w:eastAsia="宋体" w:cs="Times New Roman"/>
                <w:color w:val="000000"/>
                <w:kern w:val="0"/>
                <w:sz w:val="20"/>
                <w:szCs w:val="24"/>
                <w:lang w:eastAsia="zh-CN"/>
              </w:rPr>
            </w:pPr>
            <w:r>
              <w:rPr>
                <w:rFonts w:ascii="Times New Roman" w:hAnsi="Times New Roman" w:eastAsia="MS Mincho" w:cs="Times New Roman"/>
                <w:szCs w:val="21"/>
                <w:highlight w:val="green"/>
                <w:lang w:val="en-US" w:eastAsia="en-US" w:bidi="ar-SA"/>
              </w:rPr>
              <w:t>RAN4 to start the discussion with RRM measurement prediction use-case from RAN4 #112bis meeting.</w:t>
            </w:r>
          </w:p>
          <w:p w14:paraId="1DF7BE8C">
            <w:pPr>
              <w:snapToGrid w:val="0"/>
              <w:spacing w:after="120"/>
              <w:rPr>
                <w:rFonts w:ascii="Times New Roman" w:hAnsi="Times New Roman" w:eastAsia="宋体" w:cs="Times New Roman"/>
                <w:kern w:val="0"/>
                <w:sz w:val="21"/>
                <w:szCs w:val="21"/>
                <w:highlight w:val="green"/>
                <w:lang w:eastAsia="zh-CN"/>
              </w:rPr>
            </w:pPr>
            <w:r>
              <w:rPr>
                <w:rFonts w:hint="eastAsia" w:ascii="Times New Roman" w:hAnsi="Times New Roman" w:eastAsia="宋体" w:cs="Times New Roman"/>
                <w:kern w:val="0"/>
                <w:sz w:val="21"/>
                <w:szCs w:val="21"/>
                <w:highlight w:val="green"/>
                <w:lang w:eastAsia="zh-CN"/>
              </w:rPr>
              <w:t>A</w:t>
            </w:r>
            <w:r>
              <w:rPr>
                <w:rFonts w:ascii="Times New Roman" w:hAnsi="Times New Roman" w:eastAsia="宋体" w:cs="Times New Roman"/>
                <w:kern w:val="0"/>
                <w:sz w:val="21"/>
                <w:szCs w:val="21"/>
                <w:highlight w:val="green"/>
                <w:lang w:eastAsia="zh-CN"/>
              </w:rPr>
              <w:t>greement:</w:t>
            </w:r>
          </w:p>
          <w:p w14:paraId="6A7CFF28">
            <w:pPr>
              <w:numPr>
                <w:ilvl w:val="1"/>
                <w:numId w:val="3"/>
              </w:numPr>
              <w:overflowPunct/>
              <w:autoSpaceDE/>
              <w:autoSpaceDN/>
              <w:adjustRightInd/>
              <w:snapToGrid w:val="0"/>
              <w:spacing w:after="120"/>
              <w:ind w:left="1656" w:hanging="360" w:firstLineChars="0"/>
              <w:textAlignment w:val="auto"/>
              <w:rPr>
                <w:rFonts w:ascii="Times New Roman" w:hAnsi="Times New Roman" w:eastAsia="MS Mincho" w:cs="Times New Roman"/>
                <w:szCs w:val="21"/>
                <w:highlight w:val="green"/>
                <w:lang w:val="en-US" w:eastAsia="en-US" w:bidi="ar-SA"/>
              </w:rPr>
            </w:pPr>
            <w:r>
              <w:rPr>
                <w:rFonts w:ascii="Times New Roman" w:hAnsi="Times New Roman" w:eastAsia="MS Mincho" w:cs="Times New Roman"/>
                <w:szCs w:val="21"/>
                <w:highlight w:val="green"/>
                <w:lang w:val="en-US" w:eastAsia="en-US" w:bidi="ar-SA"/>
              </w:rPr>
              <w:t>RAN4 to only start the discussion of Measurement event prediction use-case and</w:t>
            </w:r>
            <w:r>
              <w:rPr>
                <w:rFonts w:ascii="Times New Roman" w:hAnsi="Times New Roman" w:eastAsia="MS Mincho" w:cs="Times New Roman"/>
                <w:bCs/>
                <w:szCs w:val="21"/>
                <w:highlight w:val="green"/>
                <w:lang w:val="en-US" w:eastAsia="en-US" w:bidi="ar-SA"/>
              </w:rPr>
              <w:t xml:space="preserve"> RLF use-case</w:t>
            </w:r>
            <w:r>
              <w:rPr>
                <w:rFonts w:ascii="Times New Roman" w:hAnsi="Times New Roman" w:eastAsia="MS Mincho" w:cs="Times New Roman"/>
                <w:szCs w:val="21"/>
                <w:highlight w:val="green"/>
                <w:lang w:val="en-US" w:eastAsia="en-US" w:bidi="ar-SA"/>
              </w:rPr>
              <w:t xml:space="preserve"> if sufficient progress in RAN2.</w:t>
            </w:r>
          </w:p>
          <w:p w14:paraId="179B4BC2">
            <w:pPr>
              <w:numPr>
                <w:ilvl w:val="1"/>
                <w:numId w:val="3"/>
              </w:numPr>
              <w:overflowPunct/>
              <w:autoSpaceDE/>
              <w:autoSpaceDN/>
              <w:adjustRightInd/>
              <w:snapToGrid w:val="0"/>
              <w:spacing w:after="120"/>
              <w:ind w:left="1656" w:hanging="360" w:firstLineChars="0"/>
              <w:textAlignment w:val="auto"/>
              <w:rPr>
                <w:rFonts w:ascii="Times New Roman" w:hAnsi="Times New Roman" w:eastAsia="MS Mincho" w:cs="Times New Roman"/>
                <w:szCs w:val="21"/>
                <w:highlight w:val="green"/>
                <w:lang w:val="en-US" w:eastAsia="en-US" w:bidi="ar-SA"/>
              </w:rPr>
            </w:pPr>
            <w:r>
              <w:rPr>
                <w:rFonts w:hint="eastAsia" w:ascii="Times New Roman" w:hAnsi="Times New Roman" w:eastAsia="MS Mincho" w:cs="Times New Roman"/>
                <w:szCs w:val="21"/>
                <w:highlight w:val="green"/>
                <w:lang w:val="en-US" w:eastAsia="en-US" w:bidi="ar-SA"/>
              </w:rPr>
              <w:t>T</w:t>
            </w:r>
            <w:r>
              <w:rPr>
                <w:rFonts w:ascii="Times New Roman" w:hAnsi="Times New Roman" w:eastAsia="MS Mincho" w:cs="Times New Roman"/>
                <w:szCs w:val="21"/>
                <w:highlight w:val="green"/>
                <w:lang w:val="en-US" w:eastAsia="en-US" w:bidi="ar-SA"/>
              </w:rPr>
              <w:t>he earliest time to start the discussion for Measurement event prediction use-case is RAN4#114 meeting (Feb 2025).</w:t>
            </w:r>
          </w:p>
          <w:p w14:paraId="0A3B57B4">
            <w:pPr>
              <w:numPr>
                <w:ilvl w:val="1"/>
                <w:numId w:val="3"/>
              </w:numPr>
              <w:overflowPunct/>
              <w:autoSpaceDE/>
              <w:autoSpaceDN/>
              <w:adjustRightInd/>
              <w:snapToGrid w:val="0"/>
              <w:spacing w:after="120"/>
              <w:ind w:left="1656" w:hanging="360" w:firstLineChars="0"/>
              <w:textAlignment w:val="auto"/>
              <w:rPr>
                <w:rFonts w:ascii="Times New Roman" w:hAnsi="Times New Roman" w:eastAsia="MS Mincho" w:cs="Times New Roman"/>
                <w:b/>
                <w:bCs/>
                <w:sz w:val="22"/>
                <w:szCs w:val="24"/>
                <w:u w:val="single"/>
                <w:lang w:val="en-US" w:eastAsia="zh-CN" w:bidi="ar-SA"/>
              </w:rPr>
            </w:pPr>
            <w:r>
              <w:rPr>
                <w:rFonts w:hint="eastAsia" w:ascii="Times New Roman" w:hAnsi="Times New Roman" w:eastAsia="MS Mincho" w:cs="Times New Roman"/>
                <w:szCs w:val="21"/>
                <w:highlight w:val="green"/>
                <w:lang w:val="en-US" w:eastAsia="en-US" w:bidi="ar-SA"/>
              </w:rPr>
              <w:t>T</w:t>
            </w:r>
            <w:r>
              <w:rPr>
                <w:rFonts w:ascii="Times New Roman" w:hAnsi="Times New Roman" w:eastAsia="MS Mincho" w:cs="Times New Roman"/>
                <w:szCs w:val="21"/>
                <w:highlight w:val="green"/>
                <w:lang w:val="en-US" w:eastAsia="en-US" w:bidi="ar-SA"/>
              </w:rPr>
              <w:t xml:space="preserve">he earliest time to start the discussion for </w:t>
            </w:r>
            <w:r>
              <w:rPr>
                <w:rFonts w:ascii="Times New Roman" w:hAnsi="Times New Roman" w:eastAsia="MS Mincho" w:cs="Times New Roman"/>
                <w:bCs/>
                <w:szCs w:val="21"/>
                <w:highlight w:val="green"/>
                <w:lang w:val="en-US" w:eastAsia="en-US" w:bidi="ar-SA"/>
              </w:rPr>
              <w:t xml:space="preserve">RLF use-case is </w:t>
            </w:r>
            <w:r>
              <w:rPr>
                <w:rFonts w:ascii="Times New Roman" w:hAnsi="Times New Roman" w:eastAsia="MS Mincho" w:cs="Times New Roman"/>
                <w:szCs w:val="21"/>
                <w:highlight w:val="green"/>
                <w:lang w:val="en-US" w:eastAsia="en-US" w:bidi="ar-SA"/>
              </w:rPr>
              <w:t>from RAN4#114bis meeting (Apr 2025).</w:t>
            </w:r>
          </w:p>
          <w:p w14:paraId="4393CF55">
            <w:pPr>
              <w:spacing w:after="120"/>
              <w:ind w:left="1440" w:hanging="1440"/>
              <w:jc w:val="both"/>
              <w:rPr>
                <w:rFonts w:ascii="Times New Roman" w:hAnsi="Times New Roman" w:eastAsia="MS Mincho" w:cs="Times New Roman"/>
                <w:b/>
                <w:bCs/>
                <w:sz w:val="22"/>
                <w:szCs w:val="24"/>
                <w:u w:val="single"/>
                <w:lang w:val="en-US" w:eastAsia="zh-CN" w:bidi="ar-SA"/>
              </w:rPr>
            </w:pPr>
            <w:r>
              <w:rPr>
                <w:rFonts w:ascii="Times New Roman" w:hAnsi="Times New Roman" w:eastAsia="MS Mincho" w:cs="Times New Roman"/>
                <w:b/>
                <w:bCs/>
                <w:sz w:val="22"/>
                <w:szCs w:val="24"/>
                <w:u w:val="single"/>
                <w:lang w:val="en-US" w:eastAsia="zh-CN" w:bidi="ar-SA"/>
              </w:rPr>
              <w:t xml:space="preserve">Issue 1-1-2: </w:t>
            </w:r>
            <w:bookmarkStart w:id="4" w:name="_Hlk179469976"/>
            <w:r>
              <w:rPr>
                <w:rFonts w:ascii="Times New Roman" w:hAnsi="Times New Roman" w:eastAsia="MS Mincho" w:cs="Times New Roman"/>
                <w:b/>
                <w:bCs/>
                <w:sz w:val="22"/>
                <w:szCs w:val="24"/>
                <w:u w:val="single"/>
                <w:lang w:val="en-US" w:eastAsia="zh-CN" w:bidi="ar-SA"/>
              </w:rPr>
              <w:t>Scenario/sub-use-case priorities</w:t>
            </w:r>
            <w:bookmarkEnd w:id="4"/>
          </w:p>
          <w:p w14:paraId="5B72B34F">
            <w:pPr>
              <w:snapToGrid w:val="0"/>
              <w:spacing w:after="120"/>
              <w:rPr>
                <w:rFonts w:ascii="Times New Roman" w:hAnsi="Times New Roman" w:eastAsia="宋体" w:cs="Times New Roman"/>
                <w:kern w:val="0"/>
                <w:sz w:val="21"/>
                <w:szCs w:val="21"/>
                <w:lang w:eastAsia="zh-CN"/>
              </w:rPr>
            </w:pPr>
            <w:r>
              <w:rPr>
                <w:rFonts w:ascii="Times New Roman" w:hAnsi="Times New Roman" w:eastAsia="宋体" w:cs="Times New Roman"/>
                <w:kern w:val="0"/>
                <w:sz w:val="21"/>
                <w:szCs w:val="21"/>
                <w:highlight w:val="green"/>
                <w:lang w:eastAsia="zh-CN"/>
              </w:rPr>
              <w:t>Agreement: RAN4 to start the discussion for scenario 2, 3, 4. Further clarification can be discussed for the scenarios.</w:t>
            </w:r>
            <w:r>
              <w:rPr>
                <w:rFonts w:ascii="Times New Roman" w:hAnsi="Times New Roman" w:eastAsia="宋体" w:cs="Times New Roman"/>
                <w:kern w:val="0"/>
                <w:sz w:val="21"/>
                <w:szCs w:val="21"/>
                <w:lang w:eastAsia="zh-CN"/>
              </w:rPr>
              <w:t xml:space="preserve"> </w:t>
            </w:r>
          </w:p>
          <w:tbl>
            <w:tblPr>
              <w:tblStyle w:val="16"/>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1278"/>
              <w:gridCol w:w="3769"/>
              <w:gridCol w:w="1262"/>
              <w:gridCol w:w="1339"/>
            </w:tblGrid>
            <w:tr w14:paraId="19F5C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665425A9">
                  <w:pPr>
                    <w:overflowPunct w:val="0"/>
                    <w:autoSpaceDE w:val="0"/>
                    <w:autoSpaceDN w:val="0"/>
                    <w:adjustRightInd w:val="0"/>
                    <w:snapToGrid w:val="0"/>
                    <w:spacing w:after="120"/>
                    <w:textAlignment w:val="baseline"/>
                    <w:rPr>
                      <w:rFonts w:ascii="Times New Roman" w:hAnsi="Times New Roman" w:eastAsia="Yu Mincho" w:cs="Times New Roman"/>
                      <w:kern w:val="0"/>
                      <w:sz w:val="21"/>
                      <w:szCs w:val="21"/>
                      <w:lang w:eastAsia="en-US"/>
                    </w:rPr>
                  </w:pPr>
                  <w:r>
                    <w:rPr>
                      <w:rFonts w:ascii="Times New Roman" w:hAnsi="Times New Roman" w:eastAsia="Yu Mincho" w:cs="Times New Roman"/>
                      <w:kern w:val="0"/>
                      <w:sz w:val="21"/>
                      <w:szCs w:val="21"/>
                      <w:lang w:eastAsia="en-US"/>
                    </w:rPr>
                    <w:t>2</w:t>
                  </w:r>
                </w:p>
              </w:tc>
              <w:tc>
                <w:tcPr>
                  <w:tcW w:w="1278" w:type="dxa"/>
                  <w:tcBorders>
                    <w:top w:val="single" w:color="auto" w:sz="4" w:space="0"/>
                    <w:left w:val="single" w:color="auto" w:sz="4" w:space="0"/>
                    <w:bottom w:val="single" w:color="auto" w:sz="4" w:space="0"/>
                    <w:right w:val="single" w:color="auto" w:sz="4" w:space="0"/>
                  </w:tcBorders>
                </w:tcPr>
                <w:p w14:paraId="113C9B81">
                  <w:pPr>
                    <w:overflowPunct w:val="0"/>
                    <w:autoSpaceDE w:val="0"/>
                    <w:autoSpaceDN w:val="0"/>
                    <w:adjustRightInd w:val="0"/>
                    <w:snapToGrid w:val="0"/>
                    <w:spacing w:after="120"/>
                    <w:textAlignment w:val="baseline"/>
                    <w:rPr>
                      <w:rFonts w:ascii="Times New Roman" w:hAnsi="Times New Roman" w:eastAsia="Yu Mincho" w:cs="Times New Roman"/>
                      <w:kern w:val="0"/>
                      <w:sz w:val="21"/>
                      <w:szCs w:val="21"/>
                      <w:lang w:eastAsia="en-US"/>
                    </w:rPr>
                  </w:pPr>
                  <w:r>
                    <w:rPr>
                      <w:rFonts w:ascii="Times New Roman" w:hAnsi="Times New Roman" w:eastAsia="Yu Mincho" w:cs="Times New Roman"/>
                      <w:kern w:val="0"/>
                      <w:sz w:val="21"/>
                      <w:szCs w:val="21"/>
                      <w:lang w:eastAsia="en-US"/>
                    </w:rPr>
                    <w:t>High</w:t>
                  </w:r>
                </w:p>
              </w:tc>
              <w:tc>
                <w:tcPr>
                  <w:tcW w:w="3769" w:type="dxa"/>
                  <w:tcBorders>
                    <w:top w:val="single" w:color="auto" w:sz="4" w:space="0"/>
                    <w:left w:val="single" w:color="auto" w:sz="4" w:space="0"/>
                    <w:bottom w:val="single" w:color="auto" w:sz="4" w:space="0"/>
                    <w:right w:val="single" w:color="auto" w:sz="4" w:space="0"/>
                  </w:tcBorders>
                </w:tcPr>
                <w:p w14:paraId="094A139D">
                  <w:pPr>
                    <w:overflowPunct w:val="0"/>
                    <w:autoSpaceDE w:val="0"/>
                    <w:autoSpaceDN w:val="0"/>
                    <w:adjustRightInd w:val="0"/>
                    <w:snapToGrid w:val="0"/>
                    <w:spacing w:after="120"/>
                    <w:textAlignment w:val="baseline"/>
                    <w:rPr>
                      <w:rFonts w:ascii="Times New Roman" w:hAnsi="Times New Roman" w:eastAsia="Yu Mincho" w:cs="Times New Roman"/>
                      <w:kern w:val="0"/>
                      <w:sz w:val="21"/>
                      <w:szCs w:val="21"/>
                      <w:lang w:eastAsia="en-US"/>
                    </w:rPr>
                  </w:pPr>
                  <w:r>
                    <w:rPr>
                      <w:rFonts w:ascii="Times New Roman" w:hAnsi="Times New Roman" w:eastAsia="Yu Mincho" w:cs="Times New Roman"/>
                      <w:kern w:val="0"/>
                      <w:sz w:val="21"/>
                      <w:szCs w:val="21"/>
                      <w:lang w:eastAsia="en-US"/>
                    </w:rPr>
                    <w:t>FR1 to FR1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5EB18FD0">
                  <w:pPr>
                    <w:overflowPunct w:val="0"/>
                    <w:autoSpaceDE w:val="0"/>
                    <w:autoSpaceDN w:val="0"/>
                    <w:adjustRightInd w:val="0"/>
                    <w:snapToGrid w:val="0"/>
                    <w:spacing w:after="120"/>
                    <w:textAlignment w:val="baseline"/>
                    <w:rPr>
                      <w:rFonts w:ascii="Times New Roman" w:hAnsi="Times New Roman" w:eastAsia="Yu Mincho" w:cs="Times New Roman"/>
                      <w:kern w:val="0"/>
                      <w:sz w:val="21"/>
                      <w:szCs w:val="21"/>
                      <w:lang w:eastAsia="en-US"/>
                    </w:rPr>
                  </w:pPr>
                  <w:r>
                    <w:rPr>
                      <w:rFonts w:ascii="Times New Roman" w:hAnsi="Times New Roman" w:eastAsia="Yu Mincho" w:cs="Times New Roman"/>
                      <w:kern w:val="0"/>
                      <w:sz w:val="21"/>
                      <w:szCs w:val="21"/>
                      <w:lang w:eastAsia="en-US"/>
                    </w:rPr>
                    <w:t>1</w:t>
                  </w:r>
                  <w:r>
                    <w:rPr>
                      <w:rFonts w:ascii="Times New Roman" w:hAnsi="Times New Roman" w:eastAsia="Yu Mincho" w:cs="Times New Roman"/>
                      <w:kern w:val="0"/>
                      <w:sz w:val="21"/>
                      <w:szCs w:val="21"/>
                      <w:vertAlign w:val="superscript"/>
                      <w:lang w:eastAsia="en-US"/>
                    </w:rPr>
                    <w:t>st</w:t>
                  </w:r>
                  <w:r>
                    <w:rPr>
                      <w:rFonts w:ascii="Times New Roman" w:hAnsi="Times New Roman" w:eastAsia="Yu Mincho" w:cs="Times New Roman"/>
                      <w:kern w:val="0"/>
                      <w:sz w:val="21"/>
                      <w:szCs w:val="21"/>
                      <w:lang w:eastAsia="en-US"/>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31BF5B7C">
                  <w:pPr>
                    <w:overflowPunct w:val="0"/>
                    <w:autoSpaceDE w:val="0"/>
                    <w:autoSpaceDN w:val="0"/>
                    <w:adjustRightInd w:val="0"/>
                    <w:snapToGrid w:val="0"/>
                    <w:spacing w:after="120"/>
                    <w:textAlignment w:val="baseline"/>
                    <w:rPr>
                      <w:rFonts w:ascii="Times New Roman" w:hAnsi="Times New Roman" w:eastAsia="Yu Mincho" w:cs="Times New Roman"/>
                      <w:kern w:val="0"/>
                      <w:sz w:val="21"/>
                      <w:szCs w:val="21"/>
                      <w:vertAlign w:val="superscript"/>
                      <w:lang w:eastAsia="en-US"/>
                    </w:rPr>
                  </w:pPr>
                  <w:r>
                    <w:rPr>
                      <w:rFonts w:ascii="Times New Roman" w:hAnsi="Times New Roman" w:eastAsia="Yu Mincho" w:cs="Times New Roman"/>
                      <w:kern w:val="0"/>
                      <w:sz w:val="21"/>
                      <w:szCs w:val="21"/>
                      <w:lang w:eastAsia="en-US"/>
                    </w:rPr>
                    <w:t>Intra-cell</w:t>
                  </w:r>
                </w:p>
              </w:tc>
            </w:tr>
            <w:tr w14:paraId="114A9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44409F2F">
                  <w:pPr>
                    <w:overflowPunct w:val="0"/>
                    <w:autoSpaceDE w:val="0"/>
                    <w:autoSpaceDN w:val="0"/>
                    <w:adjustRightInd w:val="0"/>
                    <w:snapToGrid w:val="0"/>
                    <w:spacing w:after="120"/>
                    <w:textAlignment w:val="baseline"/>
                    <w:rPr>
                      <w:rFonts w:ascii="Times New Roman" w:hAnsi="Times New Roman" w:eastAsia="Yu Mincho" w:cs="Times New Roman"/>
                      <w:kern w:val="0"/>
                      <w:sz w:val="21"/>
                      <w:szCs w:val="21"/>
                      <w:lang w:eastAsia="en-US"/>
                    </w:rPr>
                  </w:pPr>
                  <w:r>
                    <w:rPr>
                      <w:rFonts w:ascii="Times New Roman" w:hAnsi="Times New Roman" w:eastAsia="Yu Mincho" w:cs="Times New Roman"/>
                      <w:kern w:val="0"/>
                      <w:sz w:val="21"/>
                      <w:szCs w:val="21"/>
                      <w:lang w:eastAsia="en-US"/>
                    </w:rPr>
                    <w:t>3</w:t>
                  </w:r>
                </w:p>
              </w:tc>
              <w:tc>
                <w:tcPr>
                  <w:tcW w:w="1278" w:type="dxa"/>
                  <w:tcBorders>
                    <w:top w:val="single" w:color="auto" w:sz="4" w:space="0"/>
                    <w:left w:val="single" w:color="auto" w:sz="4" w:space="0"/>
                    <w:bottom w:val="single" w:color="auto" w:sz="4" w:space="0"/>
                    <w:right w:val="single" w:color="auto" w:sz="4" w:space="0"/>
                  </w:tcBorders>
                </w:tcPr>
                <w:p w14:paraId="0BFF6C6F">
                  <w:pPr>
                    <w:overflowPunct w:val="0"/>
                    <w:autoSpaceDE w:val="0"/>
                    <w:autoSpaceDN w:val="0"/>
                    <w:adjustRightInd w:val="0"/>
                    <w:snapToGrid w:val="0"/>
                    <w:spacing w:after="120"/>
                    <w:textAlignment w:val="baseline"/>
                    <w:rPr>
                      <w:rFonts w:ascii="Times New Roman" w:hAnsi="Times New Roman" w:eastAsia="Yu Mincho" w:cs="Times New Roman"/>
                      <w:kern w:val="0"/>
                      <w:sz w:val="21"/>
                      <w:szCs w:val="21"/>
                      <w:lang w:eastAsia="en-US"/>
                    </w:rPr>
                  </w:pPr>
                  <w:r>
                    <w:rPr>
                      <w:rFonts w:ascii="Times New Roman" w:hAnsi="Times New Roman" w:eastAsia="Yu Mincho" w:cs="Times New Roman"/>
                      <w:kern w:val="0"/>
                      <w:sz w:val="21"/>
                      <w:szCs w:val="21"/>
                      <w:lang w:eastAsia="en-US"/>
                    </w:rPr>
                    <w:t>High</w:t>
                  </w:r>
                </w:p>
              </w:tc>
              <w:tc>
                <w:tcPr>
                  <w:tcW w:w="3769" w:type="dxa"/>
                  <w:tcBorders>
                    <w:top w:val="single" w:color="auto" w:sz="4" w:space="0"/>
                    <w:left w:val="single" w:color="auto" w:sz="4" w:space="0"/>
                    <w:bottom w:val="single" w:color="auto" w:sz="4" w:space="0"/>
                    <w:right w:val="single" w:color="auto" w:sz="4" w:space="0"/>
                  </w:tcBorders>
                </w:tcPr>
                <w:p w14:paraId="31BB204B">
                  <w:pPr>
                    <w:overflowPunct w:val="0"/>
                    <w:autoSpaceDE w:val="0"/>
                    <w:autoSpaceDN w:val="0"/>
                    <w:adjustRightInd w:val="0"/>
                    <w:snapToGrid w:val="0"/>
                    <w:spacing w:after="120"/>
                    <w:textAlignment w:val="baseline"/>
                    <w:rPr>
                      <w:rFonts w:ascii="Times New Roman" w:hAnsi="Times New Roman" w:eastAsia="Yu Mincho" w:cs="Times New Roman"/>
                      <w:kern w:val="0"/>
                      <w:sz w:val="21"/>
                      <w:szCs w:val="21"/>
                      <w:lang w:eastAsia="en-US"/>
                    </w:rPr>
                  </w:pPr>
                  <w:r>
                    <w:rPr>
                      <w:rFonts w:ascii="Times New Roman" w:hAnsi="Times New Roman" w:eastAsia="Yu Mincho" w:cs="Times New Roman"/>
                      <w:kern w:val="0"/>
                      <w:sz w:val="21"/>
                      <w:szCs w:val="21"/>
                      <w:lang w:eastAsia="en-US"/>
                    </w:rPr>
                    <w:t>FR1 to FR1 inter-frequency (frequency domain)</w:t>
                  </w:r>
                </w:p>
              </w:tc>
              <w:tc>
                <w:tcPr>
                  <w:tcW w:w="1262" w:type="dxa"/>
                  <w:tcBorders>
                    <w:top w:val="single" w:color="auto" w:sz="4" w:space="0"/>
                    <w:left w:val="single" w:color="auto" w:sz="4" w:space="0"/>
                    <w:bottom w:val="single" w:color="auto" w:sz="4" w:space="0"/>
                    <w:right w:val="single" w:color="auto" w:sz="4" w:space="0"/>
                  </w:tcBorders>
                </w:tcPr>
                <w:p w14:paraId="38C64031">
                  <w:pPr>
                    <w:overflowPunct w:val="0"/>
                    <w:autoSpaceDE w:val="0"/>
                    <w:autoSpaceDN w:val="0"/>
                    <w:adjustRightInd w:val="0"/>
                    <w:snapToGrid w:val="0"/>
                    <w:spacing w:after="120"/>
                    <w:textAlignment w:val="baseline"/>
                    <w:rPr>
                      <w:rFonts w:ascii="Times New Roman" w:hAnsi="Times New Roman" w:eastAsia="Yu Mincho" w:cs="Times New Roman"/>
                      <w:kern w:val="0"/>
                      <w:sz w:val="21"/>
                      <w:szCs w:val="21"/>
                      <w:lang w:eastAsia="en-US"/>
                    </w:rPr>
                  </w:pPr>
                  <w:r>
                    <w:rPr>
                      <w:rFonts w:ascii="Times New Roman" w:hAnsi="Times New Roman" w:eastAsia="Yu Mincho" w:cs="Times New Roman"/>
                      <w:kern w:val="0"/>
                      <w:sz w:val="21"/>
                      <w:szCs w:val="21"/>
                      <w:lang w:eastAsia="en-US"/>
                    </w:rPr>
                    <w:t>1</w:t>
                  </w:r>
                  <w:r>
                    <w:rPr>
                      <w:rFonts w:ascii="Times New Roman" w:hAnsi="Times New Roman" w:eastAsia="Yu Mincho" w:cs="Times New Roman"/>
                      <w:kern w:val="0"/>
                      <w:sz w:val="21"/>
                      <w:szCs w:val="21"/>
                      <w:vertAlign w:val="superscript"/>
                      <w:lang w:eastAsia="en-US"/>
                    </w:rPr>
                    <w:t>st</w:t>
                  </w:r>
                  <w:r>
                    <w:rPr>
                      <w:rFonts w:ascii="Times New Roman" w:hAnsi="Times New Roman" w:eastAsia="Yu Mincho" w:cs="Times New Roman"/>
                      <w:kern w:val="0"/>
                      <w:sz w:val="21"/>
                      <w:szCs w:val="21"/>
                      <w:lang w:eastAsia="en-US"/>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69DBB75E">
                  <w:pPr>
                    <w:overflowPunct w:val="0"/>
                    <w:autoSpaceDE w:val="0"/>
                    <w:autoSpaceDN w:val="0"/>
                    <w:adjustRightInd w:val="0"/>
                    <w:snapToGrid w:val="0"/>
                    <w:spacing w:after="120"/>
                    <w:textAlignment w:val="baseline"/>
                    <w:rPr>
                      <w:rFonts w:ascii="Times New Roman" w:hAnsi="Times New Roman" w:eastAsia="Yu Mincho" w:cs="Times New Roman"/>
                      <w:kern w:val="0"/>
                      <w:sz w:val="21"/>
                      <w:szCs w:val="21"/>
                      <w:lang w:eastAsia="en-US"/>
                    </w:rPr>
                  </w:pPr>
                  <w:r>
                    <w:rPr>
                      <w:rFonts w:ascii="Times New Roman" w:hAnsi="Times New Roman" w:eastAsia="Yu Mincho" w:cs="Times New Roman"/>
                      <w:kern w:val="0"/>
                      <w:sz w:val="21"/>
                      <w:szCs w:val="21"/>
                      <w:lang w:eastAsia="en-US"/>
                    </w:rPr>
                    <w:t xml:space="preserve">Inter-cell </w:t>
                  </w:r>
                </w:p>
              </w:tc>
            </w:tr>
            <w:tr w14:paraId="72851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11057DE4">
                  <w:pPr>
                    <w:overflowPunct w:val="0"/>
                    <w:autoSpaceDE w:val="0"/>
                    <w:autoSpaceDN w:val="0"/>
                    <w:adjustRightInd w:val="0"/>
                    <w:snapToGrid w:val="0"/>
                    <w:spacing w:after="120"/>
                    <w:textAlignment w:val="baseline"/>
                    <w:rPr>
                      <w:rFonts w:ascii="Times New Roman" w:hAnsi="Times New Roman" w:eastAsia="Yu Mincho" w:cs="Times New Roman"/>
                      <w:kern w:val="0"/>
                      <w:sz w:val="21"/>
                      <w:szCs w:val="21"/>
                      <w:lang w:eastAsia="en-US"/>
                    </w:rPr>
                  </w:pPr>
                  <w:r>
                    <w:rPr>
                      <w:rFonts w:ascii="Times New Roman" w:hAnsi="Times New Roman" w:eastAsia="Yu Mincho" w:cs="Times New Roman"/>
                      <w:kern w:val="0"/>
                      <w:sz w:val="21"/>
                      <w:szCs w:val="21"/>
                      <w:lang w:eastAsia="en-US"/>
                    </w:rPr>
                    <w:t>4</w:t>
                  </w:r>
                </w:p>
              </w:tc>
              <w:tc>
                <w:tcPr>
                  <w:tcW w:w="1278" w:type="dxa"/>
                  <w:tcBorders>
                    <w:top w:val="single" w:color="auto" w:sz="4" w:space="0"/>
                    <w:left w:val="single" w:color="auto" w:sz="4" w:space="0"/>
                    <w:bottom w:val="single" w:color="auto" w:sz="4" w:space="0"/>
                    <w:right w:val="single" w:color="auto" w:sz="4" w:space="0"/>
                  </w:tcBorders>
                </w:tcPr>
                <w:p w14:paraId="45CDB58D">
                  <w:pPr>
                    <w:overflowPunct w:val="0"/>
                    <w:autoSpaceDE w:val="0"/>
                    <w:autoSpaceDN w:val="0"/>
                    <w:adjustRightInd w:val="0"/>
                    <w:snapToGrid w:val="0"/>
                    <w:spacing w:after="120"/>
                    <w:textAlignment w:val="baseline"/>
                    <w:rPr>
                      <w:rFonts w:ascii="Times New Roman" w:hAnsi="Times New Roman" w:eastAsia="Yu Mincho" w:cs="Times New Roman"/>
                      <w:kern w:val="0"/>
                      <w:sz w:val="21"/>
                      <w:szCs w:val="21"/>
                      <w:lang w:eastAsia="en-US"/>
                    </w:rPr>
                  </w:pPr>
                  <w:r>
                    <w:rPr>
                      <w:rFonts w:ascii="Times New Roman" w:hAnsi="Times New Roman" w:eastAsia="Yu Mincho" w:cs="Times New Roman"/>
                      <w:kern w:val="0"/>
                      <w:sz w:val="21"/>
                      <w:szCs w:val="21"/>
                      <w:lang w:eastAsia="en-US"/>
                    </w:rPr>
                    <w:t>High</w:t>
                  </w:r>
                </w:p>
              </w:tc>
              <w:tc>
                <w:tcPr>
                  <w:tcW w:w="3769" w:type="dxa"/>
                  <w:tcBorders>
                    <w:top w:val="single" w:color="auto" w:sz="4" w:space="0"/>
                    <w:left w:val="single" w:color="auto" w:sz="4" w:space="0"/>
                    <w:bottom w:val="single" w:color="auto" w:sz="4" w:space="0"/>
                    <w:right w:val="single" w:color="auto" w:sz="4" w:space="0"/>
                  </w:tcBorders>
                </w:tcPr>
                <w:p w14:paraId="4DB65040">
                  <w:pPr>
                    <w:overflowPunct w:val="0"/>
                    <w:autoSpaceDE w:val="0"/>
                    <w:autoSpaceDN w:val="0"/>
                    <w:adjustRightInd w:val="0"/>
                    <w:snapToGrid w:val="0"/>
                    <w:spacing w:after="120"/>
                    <w:textAlignment w:val="baseline"/>
                    <w:rPr>
                      <w:rFonts w:ascii="Times New Roman" w:hAnsi="Times New Roman" w:eastAsia="Yu Mincho" w:cs="Times New Roman"/>
                      <w:kern w:val="0"/>
                      <w:sz w:val="21"/>
                      <w:szCs w:val="21"/>
                      <w:lang w:eastAsia="en-US"/>
                    </w:rPr>
                  </w:pPr>
                  <w:r>
                    <w:rPr>
                      <w:rFonts w:ascii="Times New Roman" w:hAnsi="Times New Roman" w:eastAsia="Yu Mincho" w:cs="Times New Roman"/>
                      <w:kern w:val="0"/>
                      <w:sz w:val="21"/>
                      <w:szCs w:val="21"/>
                      <w:lang w:eastAsia="en-US"/>
                    </w:rPr>
                    <w:t>FR2 to FR2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60FF6742">
                  <w:pPr>
                    <w:overflowPunct w:val="0"/>
                    <w:autoSpaceDE w:val="0"/>
                    <w:autoSpaceDN w:val="0"/>
                    <w:adjustRightInd w:val="0"/>
                    <w:snapToGrid w:val="0"/>
                    <w:spacing w:after="120"/>
                    <w:textAlignment w:val="baseline"/>
                    <w:rPr>
                      <w:rFonts w:ascii="Times New Roman" w:hAnsi="Times New Roman" w:eastAsia="Yu Mincho" w:cs="Times New Roman"/>
                      <w:kern w:val="0"/>
                      <w:sz w:val="21"/>
                      <w:szCs w:val="21"/>
                      <w:lang w:eastAsia="en-US"/>
                    </w:rPr>
                  </w:pPr>
                  <w:r>
                    <w:rPr>
                      <w:rFonts w:ascii="Times New Roman" w:hAnsi="Times New Roman" w:eastAsia="Yu Mincho" w:cs="Times New Roman"/>
                      <w:kern w:val="0"/>
                      <w:sz w:val="21"/>
                      <w:szCs w:val="21"/>
                      <w:lang w:eastAsia="en-US"/>
                    </w:rPr>
                    <w:t>2</w:t>
                  </w:r>
                  <w:r>
                    <w:rPr>
                      <w:rFonts w:ascii="Times New Roman" w:hAnsi="Times New Roman" w:eastAsia="Yu Mincho" w:cs="Times New Roman"/>
                      <w:kern w:val="0"/>
                      <w:sz w:val="21"/>
                      <w:szCs w:val="21"/>
                      <w:vertAlign w:val="superscript"/>
                      <w:lang w:eastAsia="en-US"/>
                    </w:rPr>
                    <w:t>nd</w:t>
                  </w:r>
                  <w:r>
                    <w:rPr>
                      <w:rFonts w:ascii="Times New Roman" w:hAnsi="Times New Roman" w:eastAsia="Yu Mincho" w:cs="Times New Roman"/>
                      <w:kern w:val="0"/>
                      <w:sz w:val="21"/>
                      <w:szCs w:val="21"/>
                      <w:lang w:eastAsia="en-US"/>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3727D543">
                  <w:pPr>
                    <w:overflowPunct w:val="0"/>
                    <w:autoSpaceDE w:val="0"/>
                    <w:autoSpaceDN w:val="0"/>
                    <w:adjustRightInd w:val="0"/>
                    <w:snapToGrid w:val="0"/>
                    <w:spacing w:after="120"/>
                    <w:textAlignment w:val="baseline"/>
                    <w:rPr>
                      <w:rFonts w:ascii="Times New Roman" w:hAnsi="Times New Roman" w:eastAsia="Yu Mincho" w:cs="Times New Roman"/>
                      <w:kern w:val="0"/>
                      <w:sz w:val="21"/>
                      <w:szCs w:val="21"/>
                      <w:lang w:eastAsia="en-US"/>
                    </w:rPr>
                  </w:pPr>
                  <w:r>
                    <w:rPr>
                      <w:rFonts w:ascii="Times New Roman" w:hAnsi="Times New Roman" w:eastAsia="Yu Mincho" w:cs="Times New Roman"/>
                      <w:kern w:val="0"/>
                      <w:sz w:val="21"/>
                      <w:szCs w:val="21"/>
                      <w:lang w:eastAsia="en-US"/>
                    </w:rPr>
                    <w:t>Intra-cell</w:t>
                  </w:r>
                </w:p>
              </w:tc>
            </w:tr>
          </w:tbl>
          <w:p w14:paraId="788B9F58">
            <w:pPr>
              <w:snapToGrid w:val="0"/>
              <w:spacing w:after="120"/>
              <w:rPr>
                <w:rFonts w:ascii="Times New Roman" w:hAnsi="Times New Roman" w:eastAsia="宋体" w:cs="Times New Roman"/>
                <w:kern w:val="0"/>
                <w:sz w:val="21"/>
                <w:szCs w:val="21"/>
                <w:highlight w:val="green"/>
                <w:lang w:eastAsia="zh-CN"/>
              </w:rPr>
            </w:pPr>
            <w:r>
              <w:rPr>
                <w:rFonts w:hint="eastAsia" w:ascii="Times New Roman" w:hAnsi="Times New Roman" w:eastAsia="宋体" w:cs="Times New Roman"/>
                <w:kern w:val="0"/>
                <w:sz w:val="21"/>
                <w:szCs w:val="21"/>
                <w:highlight w:val="green"/>
                <w:lang w:eastAsia="zh-CN"/>
              </w:rPr>
              <w:t>A</w:t>
            </w:r>
            <w:r>
              <w:rPr>
                <w:rFonts w:ascii="Times New Roman" w:hAnsi="Times New Roman" w:eastAsia="宋体" w:cs="Times New Roman"/>
                <w:kern w:val="0"/>
                <w:sz w:val="21"/>
                <w:szCs w:val="21"/>
                <w:highlight w:val="green"/>
                <w:lang w:eastAsia="zh-CN"/>
              </w:rPr>
              <w:t>greement:</w:t>
            </w:r>
          </w:p>
          <w:p w14:paraId="464204BB">
            <w:pPr>
              <w:numPr>
                <w:ilvl w:val="1"/>
                <w:numId w:val="3"/>
              </w:numPr>
              <w:overflowPunct/>
              <w:autoSpaceDE/>
              <w:autoSpaceDN/>
              <w:adjustRightInd/>
              <w:snapToGrid w:val="0"/>
              <w:spacing w:after="120"/>
              <w:ind w:left="1656" w:hanging="360" w:firstLineChars="0"/>
              <w:textAlignment w:val="auto"/>
              <w:rPr>
                <w:rFonts w:ascii="Times New Roman" w:hAnsi="Times New Roman" w:eastAsia="MS Mincho" w:cs="Times New Roman"/>
                <w:szCs w:val="21"/>
                <w:highlight w:val="green"/>
                <w:lang w:val="en-US" w:eastAsia="en-US" w:bidi="ar-SA"/>
              </w:rPr>
            </w:pPr>
            <w:r>
              <w:rPr>
                <w:rFonts w:ascii="Times New Roman" w:hAnsi="Times New Roman" w:eastAsia="MS Mincho" w:cs="Times New Roman"/>
                <w:szCs w:val="21"/>
                <w:highlight w:val="green"/>
                <w:lang w:val="en-US" w:eastAsia="en-US" w:bidi="ar-SA"/>
              </w:rPr>
              <w:t>Scenario 2, 3 and 4, the 3 cases can be discussed:</w:t>
            </w:r>
          </w:p>
          <w:p w14:paraId="7BFD670C">
            <w:pPr>
              <w:numPr>
                <w:ilvl w:val="2"/>
                <w:numId w:val="3"/>
              </w:numPr>
              <w:overflowPunct w:val="0"/>
              <w:autoSpaceDE w:val="0"/>
              <w:autoSpaceDN w:val="0"/>
              <w:adjustRightInd w:val="0"/>
              <w:snapToGrid w:val="0"/>
              <w:spacing w:after="120"/>
              <w:ind w:left="2376" w:hanging="360" w:firstLineChars="0"/>
              <w:textAlignment w:val="baseline"/>
              <w:rPr>
                <w:rFonts w:ascii="Times New Roman" w:hAnsi="Times New Roman" w:eastAsia="MS Mincho" w:cs="Times New Roman"/>
                <w:szCs w:val="21"/>
                <w:highlight w:val="green"/>
                <w:lang w:val="en-US" w:eastAsia="en-US" w:bidi="ar-SA"/>
              </w:rPr>
            </w:pPr>
            <w:r>
              <w:rPr>
                <w:rFonts w:ascii="Times New Roman" w:hAnsi="Times New Roman" w:eastAsia="MS Mincho" w:cs="Times New Roman"/>
                <w:szCs w:val="21"/>
                <w:highlight w:val="green"/>
                <w:lang w:val="en-US" w:eastAsia="en-US" w:bidi="ar-SA"/>
              </w:rPr>
              <w:t>Sub-use case 1: L1 beam-level measurement result(s) is predicted based on actual L1 beam-level measurement result(s) and then L3 cell-level measurement result is generated</w:t>
            </w:r>
          </w:p>
          <w:p w14:paraId="612EEB58">
            <w:pPr>
              <w:numPr>
                <w:ilvl w:val="2"/>
                <w:numId w:val="3"/>
              </w:numPr>
              <w:overflowPunct w:val="0"/>
              <w:autoSpaceDE w:val="0"/>
              <w:autoSpaceDN w:val="0"/>
              <w:adjustRightInd w:val="0"/>
              <w:snapToGrid w:val="0"/>
              <w:spacing w:after="120"/>
              <w:ind w:left="2376" w:hanging="360" w:firstLineChars="0"/>
              <w:textAlignment w:val="baseline"/>
              <w:rPr>
                <w:rFonts w:ascii="Times New Roman" w:hAnsi="Times New Roman" w:eastAsia="MS Mincho" w:cs="Times New Roman"/>
                <w:szCs w:val="21"/>
                <w:highlight w:val="green"/>
                <w:lang w:val="en-US" w:eastAsia="en-US" w:bidi="ar-SA"/>
              </w:rPr>
            </w:pPr>
            <w:r>
              <w:rPr>
                <w:rFonts w:ascii="Times New Roman" w:hAnsi="Times New Roman" w:eastAsia="MS Mincho" w:cs="Times New Roman"/>
                <w:szCs w:val="21"/>
                <w:highlight w:val="green"/>
                <w:lang w:val="en-US" w:eastAsia="en-US" w:bidi="ar-SA"/>
              </w:rPr>
              <w:t>Sub-use case 2: L3 Cell-level measurement result(s) is predicted based on actual L3 cell-level measurement result(s)</w:t>
            </w:r>
          </w:p>
          <w:p w14:paraId="5526FA7D">
            <w:pPr>
              <w:numPr>
                <w:ilvl w:val="2"/>
                <w:numId w:val="3"/>
              </w:numPr>
              <w:overflowPunct w:val="0"/>
              <w:autoSpaceDE w:val="0"/>
              <w:autoSpaceDN w:val="0"/>
              <w:adjustRightInd w:val="0"/>
              <w:snapToGrid w:val="0"/>
              <w:spacing w:after="120"/>
              <w:ind w:left="2376" w:hanging="360" w:firstLineChars="0"/>
              <w:textAlignment w:val="baseline"/>
              <w:rPr>
                <w:rFonts w:ascii="Times New Roman" w:hAnsi="Times New Roman" w:eastAsia="MS Mincho" w:cs="Times New Roman"/>
                <w:szCs w:val="21"/>
                <w:highlight w:val="green"/>
                <w:lang w:val="en-US" w:eastAsia="en-US" w:bidi="ar-SA"/>
              </w:rPr>
            </w:pPr>
            <w:r>
              <w:rPr>
                <w:rFonts w:ascii="Times New Roman" w:hAnsi="Times New Roman" w:eastAsia="MS Mincho" w:cs="Times New Roman"/>
                <w:szCs w:val="21"/>
                <w:highlight w:val="green"/>
                <w:lang w:val="en-US" w:eastAsia="en-US" w:bidi="ar-SA"/>
              </w:rPr>
              <w:t>Sub-use case 3: L3 Cell-level measurement result(s) is predicted based on actual L1 beam-level measurement result(s)</w:t>
            </w:r>
          </w:p>
          <w:p w14:paraId="39DC0B0B">
            <w:pPr>
              <w:numPr>
                <w:ilvl w:val="2"/>
                <w:numId w:val="3"/>
              </w:numPr>
              <w:overflowPunct w:val="0"/>
              <w:autoSpaceDE w:val="0"/>
              <w:autoSpaceDN w:val="0"/>
              <w:adjustRightInd w:val="0"/>
              <w:snapToGrid w:val="0"/>
              <w:spacing w:after="120"/>
              <w:ind w:left="2376" w:hanging="360" w:firstLineChars="0"/>
              <w:textAlignment w:val="baseline"/>
              <w:rPr>
                <w:rFonts w:ascii="Times New Roman" w:hAnsi="Times New Roman" w:eastAsia="MS Mincho" w:cs="Times New Roman"/>
                <w:szCs w:val="21"/>
                <w:highlight w:val="green"/>
                <w:lang w:val="en-US" w:eastAsia="en-US" w:bidi="ar-SA"/>
              </w:rPr>
            </w:pPr>
            <w:r>
              <w:rPr>
                <w:rFonts w:ascii="Times New Roman" w:hAnsi="Times New Roman" w:eastAsia="MS Mincho" w:cs="Times New Roman"/>
                <w:szCs w:val="21"/>
                <w:highlight w:val="green"/>
                <w:lang w:val="en-US" w:eastAsia="en-US" w:bidi="ar-SA"/>
              </w:rPr>
              <w:t>Follow the latest definition of the sub use-cases in RAN2. Further clarification on the sub use-cases from RAN4 perspective can be discussed.</w:t>
            </w:r>
          </w:p>
          <w:p w14:paraId="49D3637E">
            <w:pPr>
              <w:spacing w:after="120"/>
              <w:ind w:left="1440" w:hanging="1440"/>
              <w:jc w:val="both"/>
              <w:rPr>
                <w:rFonts w:ascii="Times New Roman" w:hAnsi="Times New Roman" w:eastAsia="MS Mincho" w:cs="Times New Roman"/>
                <w:b/>
                <w:bCs/>
                <w:sz w:val="22"/>
                <w:szCs w:val="24"/>
                <w:u w:val="single"/>
                <w:lang w:val="en-US" w:eastAsia="zh-CN" w:bidi="ar-SA"/>
              </w:rPr>
            </w:pPr>
            <w:r>
              <w:rPr>
                <w:rFonts w:ascii="Times New Roman" w:hAnsi="Times New Roman" w:eastAsia="MS Mincho" w:cs="Times New Roman"/>
                <w:b/>
                <w:bCs/>
                <w:sz w:val="22"/>
                <w:szCs w:val="24"/>
                <w:u w:val="single"/>
                <w:lang w:val="en-US" w:eastAsia="zh-CN" w:bidi="ar-SA"/>
              </w:rPr>
              <w:t>Issue 2-1-1: Performance Metrics/KPIs for Measurement Prediction use case</w:t>
            </w:r>
          </w:p>
          <w:p w14:paraId="5FB58993">
            <w:pPr>
              <w:snapToGrid w:val="0"/>
              <w:spacing w:after="120"/>
              <w:rPr>
                <w:rFonts w:ascii="Times New Roman" w:hAnsi="Times New Roman" w:eastAsia="宋体" w:cs="Times New Roman"/>
                <w:kern w:val="0"/>
                <w:sz w:val="21"/>
                <w:szCs w:val="21"/>
                <w:highlight w:val="green"/>
                <w:lang w:eastAsia="zh-CN"/>
              </w:rPr>
            </w:pPr>
            <w:r>
              <w:rPr>
                <w:rFonts w:hint="eastAsia" w:ascii="Times New Roman" w:hAnsi="Times New Roman" w:eastAsia="宋体" w:cs="Times New Roman"/>
                <w:kern w:val="0"/>
                <w:sz w:val="21"/>
                <w:szCs w:val="21"/>
                <w:highlight w:val="green"/>
                <w:lang w:eastAsia="zh-CN"/>
              </w:rPr>
              <w:t>A</w:t>
            </w:r>
            <w:r>
              <w:rPr>
                <w:rFonts w:ascii="Times New Roman" w:hAnsi="Times New Roman" w:eastAsia="宋体" w:cs="Times New Roman"/>
                <w:kern w:val="0"/>
                <w:sz w:val="21"/>
                <w:szCs w:val="21"/>
                <w:highlight w:val="green"/>
                <w:lang w:eastAsia="zh-CN"/>
              </w:rPr>
              <w:t>greement:</w:t>
            </w:r>
          </w:p>
          <w:p w14:paraId="475D560B">
            <w:pPr>
              <w:numPr>
                <w:ilvl w:val="0"/>
                <w:numId w:val="3"/>
              </w:numPr>
              <w:overflowPunct/>
              <w:autoSpaceDE/>
              <w:autoSpaceDN/>
              <w:adjustRightInd/>
              <w:snapToGrid w:val="0"/>
              <w:spacing w:after="120"/>
              <w:ind w:left="936" w:hanging="360" w:firstLineChars="0"/>
              <w:textAlignment w:val="auto"/>
              <w:rPr>
                <w:rFonts w:ascii="Times New Roman" w:hAnsi="Times New Roman" w:eastAsia="MS Mincho" w:cs="Times New Roman"/>
                <w:szCs w:val="21"/>
                <w:highlight w:val="green"/>
                <w:lang w:val="en-US" w:eastAsia="en-US" w:bidi="ar-SA"/>
              </w:rPr>
            </w:pPr>
            <w:r>
              <w:rPr>
                <w:rFonts w:ascii="Times New Roman" w:hAnsi="Times New Roman" w:eastAsia="MS Mincho" w:cs="Times New Roman"/>
                <w:szCs w:val="21"/>
                <w:highlight w:val="green"/>
                <w:lang w:val="en-US" w:eastAsia="en-US" w:bidi="ar-SA"/>
              </w:rPr>
              <w:t xml:space="preserve">RAN4 to first study the </w:t>
            </w:r>
            <w:r>
              <w:rPr>
                <w:rFonts w:hint="eastAsia" w:ascii="Times New Roman" w:hAnsi="Times New Roman" w:eastAsia="MS Mincho" w:cs="Times New Roman"/>
                <w:bCs/>
                <w:szCs w:val="21"/>
                <w:highlight w:val="green"/>
                <w:lang w:val="en-US" w:eastAsia="en-US" w:bidi="ar-SA"/>
              </w:rPr>
              <w:t>impacts on requirements</w:t>
            </w:r>
            <w:r>
              <w:rPr>
                <w:rFonts w:ascii="Times New Roman" w:hAnsi="Times New Roman" w:eastAsia="MS Mincho" w:cs="Times New Roman"/>
                <w:szCs w:val="21"/>
                <w:highlight w:val="green"/>
                <w:lang w:val="en-US" w:eastAsia="en-US" w:bidi="ar-SA"/>
              </w:rPr>
              <w:t xml:space="preserve"> for the following case:</w:t>
            </w:r>
          </w:p>
          <w:p w14:paraId="6DCBEE62">
            <w:pPr>
              <w:numPr>
                <w:ilvl w:val="1"/>
                <w:numId w:val="3"/>
              </w:numPr>
              <w:overflowPunct/>
              <w:autoSpaceDE/>
              <w:autoSpaceDN/>
              <w:adjustRightInd/>
              <w:snapToGrid w:val="0"/>
              <w:spacing w:after="120"/>
              <w:ind w:left="1656" w:hanging="360" w:firstLineChars="0"/>
              <w:textAlignment w:val="auto"/>
              <w:rPr>
                <w:rFonts w:ascii="Times New Roman" w:hAnsi="Times New Roman" w:eastAsia="MS Mincho" w:cs="Times New Roman"/>
                <w:szCs w:val="21"/>
                <w:highlight w:val="green"/>
                <w:lang w:val="en-US" w:eastAsia="en-US" w:bidi="ar-SA"/>
              </w:rPr>
            </w:pPr>
            <w:r>
              <w:rPr>
                <w:rFonts w:ascii="Times New Roman" w:hAnsi="Times New Roman" w:eastAsia="MS Mincho" w:cs="Times New Roman"/>
                <w:szCs w:val="21"/>
                <w:highlight w:val="green"/>
                <w:lang w:val="en-US" w:eastAsia="en-US" w:bidi="ar-SA"/>
              </w:rPr>
              <w:t>L3 cell level RSRP (Point C) prediction</w:t>
            </w:r>
          </w:p>
          <w:p w14:paraId="3BDDF925">
            <w:pPr>
              <w:numPr>
                <w:ilvl w:val="1"/>
                <w:numId w:val="3"/>
              </w:numPr>
              <w:overflowPunct/>
              <w:autoSpaceDE/>
              <w:autoSpaceDN/>
              <w:adjustRightInd/>
              <w:snapToGrid w:val="0"/>
              <w:spacing w:after="120"/>
              <w:ind w:left="1656" w:hanging="360" w:firstLineChars="0"/>
              <w:textAlignment w:val="auto"/>
              <w:rPr>
                <w:rFonts w:ascii="Times New Roman" w:hAnsi="Times New Roman" w:eastAsia="MS Mincho" w:cs="Times New Roman"/>
                <w:szCs w:val="21"/>
                <w:highlight w:val="green"/>
                <w:lang w:val="en-US" w:eastAsia="en-US" w:bidi="ar-SA"/>
              </w:rPr>
            </w:pPr>
            <w:r>
              <w:rPr>
                <w:rFonts w:hint="eastAsia" w:ascii="Times New Roman" w:hAnsi="Times New Roman" w:eastAsia="MS Mincho" w:cs="Times New Roman"/>
                <w:szCs w:val="21"/>
                <w:highlight w:val="green"/>
                <w:lang w:val="en-US" w:eastAsia="en-US" w:bidi="ar-SA"/>
              </w:rPr>
              <w:t>F</w:t>
            </w:r>
            <w:r>
              <w:rPr>
                <w:rFonts w:ascii="Times New Roman" w:hAnsi="Times New Roman" w:eastAsia="MS Mincho" w:cs="Times New Roman"/>
                <w:szCs w:val="21"/>
                <w:highlight w:val="green"/>
                <w:lang w:val="en-US" w:eastAsia="en-US" w:bidi="ar-SA"/>
              </w:rPr>
              <w:t>FS L1 beam-level (Point A</w:t>
            </w:r>
            <w:r>
              <w:rPr>
                <w:rFonts w:ascii="Times New Roman" w:hAnsi="Times New Roman" w:eastAsia="MS Mincho" w:cs="Times New Roman"/>
                <w:szCs w:val="21"/>
                <w:highlight w:val="green"/>
                <w:vertAlign w:val="superscript"/>
                <w:lang w:val="en-US" w:eastAsia="en-US" w:bidi="ar-SA"/>
              </w:rPr>
              <w:t>1</w:t>
            </w:r>
            <w:r>
              <w:rPr>
                <w:rFonts w:ascii="Times New Roman" w:hAnsi="Times New Roman" w:eastAsia="MS Mincho" w:cs="Times New Roman"/>
                <w:szCs w:val="21"/>
                <w:highlight w:val="green"/>
                <w:lang w:val="en-US" w:eastAsia="en-US" w:bidi="ar-SA"/>
              </w:rPr>
              <w:t>)</w:t>
            </w:r>
          </w:p>
          <w:p w14:paraId="26999A28">
            <w:pPr>
              <w:numPr>
                <w:ilvl w:val="1"/>
                <w:numId w:val="3"/>
              </w:numPr>
              <w:overflowPunct/>
              <w:autoSpaceDE/>
              <w:autoSpaceDN/>
              <w:adjustRightInd/>
              <w:snapToGrid w:val="0"/>
              <w:spacing w:after="120"/>
              <w:ind w:left="1656" w:hanging="360" w:firstLineChars="0"/>
              <w:textAlignment w:val="auto"/>
              <w:rPr>
                <w:rFonts w:ascii="Times New Roman" w:hAnsi="Times New Roman" w:eastAsia="MS Mincho" w:cs="Times New Roman"/>
                <w:szCs w:val="21"/>
                <w:highlight w:val="green"/>
                <w:lang w:val="en-US" w:eastAsia="en-US" w:bidi="ar-SA"/>
              </w:rPr>
            </w:pPr>
            <w:r>
              <w:rPr>
                <w:rFonts w:ascii="Times New Roman" w:hAnsi="Times New Roman" w:eastAsia="MS Mincho" w:cs="Times New Roman"/>
                <w:szCs w:val="21"/>
                <w:highlight w:val="green"/>
                <w:lang w:val="en-US" w:eastAsia="en-US" w:bidi="ar-SA"/>
              </w:rPr>
              <w:t>FFS L3 beam-level (Point E)</w:t>
            </w:r>
          </w:p>
          <w:p w14:paraId="77FF1D76">
            <w:pPr>
              <w:numPr>
                <w:ilvl w:val="1"/>
                <w:numId w:val="3"/>
              </w:numPr>
              <w:overflowPunct/>
              <w:autoSpaceDE/>
              <w:autoSpaceDN/>
              <w:adjustRightInd/>
              <w:snapToGrid w:val="0"/>
              <w:spacing w:after="120"/>
              <w:ind w:left="1656" w:hanging="360" w:firstLineChars="0"/>
              <w:textAlignment w:val="auto"/>
              <w:rPr>
                <w:rFonts w:ascii="Times New Roman" w:hAnsi="Times New Roman" w:eastAsia="MS Mincho" w:cs="Times New Roman"/>
                <w:szCs w:val="21"/>
                <w:highlight w:val="green"/>
                <w:lang w:val="en-US" w:eastAsia="en-US" w:bidi="ar-SA"/>
              </w:rPr>
            </w:pPr>
            <w:r>
              <w:rPr>
                <w:rFonts w:ascii="Times New Roman" w:hAnsi="Times New Roman" w:eastAsia="MS Mincho" w:cs="Times New Roman"/>
                <w:szCs w:val="21"/>
                <w:highlight w:val="green"/>
                <w:lang w:val="en-US" w:eastAsia="en-US" w:bidi="ar-SA"/>
              </w:rPr>
              <w:t>Other cases can be considered based on RAN4 further discussion and RAN2 further progress.</w:t>
            </w:r>
          </w:p>
          <w:p w14:paraId="42AC9E9A">
            <w:pPr>
              <w:spacing w:after="120"/>
              <w:ind w:left="1440" w:hanging="1440"/>
              <w:jc w:val="both"/>
              <w:rPr>
                <w:rFonts w:ascii="Times New Roman" w:hAnsi="Times New Roman" w:eastAsia="MS Mincho" w:cs="Times New Roman"/>
                <w:b/>
                <w:bCs/>
                <w:sz w:val="22"/>
                <w:szCs w:val="24"/>
                <w:u w:val="single"/>
                <w:lang w:val="zh-CN" w:eastAsia="zh-CN" w:bidi="ar-SA"/>
              </w:rPr>
            </w:pPr>
            <w:r>
              <w:rPr>
                <w:rFonts w:ascii="Times New Roman" w:hAnsi="Times New Roman" w:eastAsia="MS Mincho" w:cs="Times New Roman"/>
                <w:b/>
                <w:bCs/>
                <w:sz w:val="22"/>
                <w:szCs w:val="24"/>
                <w:u w:val="single"/>
                <w:lang w:val="zh-CN" w:eastAsia="zh-CN" w:bidi="ar-SA"/>
              </w:rPr>
              <w:t>Issue 3-1-1: New testability aspects</w:t>
            </w:r>
          </w:p>
          <w:p w14:paraId="0A217429">
            <w:pPr>
              <w:numPr>
                <w:ilvl w:val="0"/>
                <w:numId w:val="3"/>
              </w:numPr>
              <w:overflowPunct/>
              <w:autoSpaceDE/>
              <w:autoSpaceDN w:val="0"/>
              <w:adjustRightInd/>
              <w:spacing w:after="120"/>
              <w:ind w:left="720" w:firstLine="420" w:firstLineChars="0"/>
              <w:textAlignment w:val="auto"/>
              <w:rPr>
                <w:rFonts w:ascii="Times New Roman" w:hAnsi="Times New Roman" w:eastAsia="宋体" w:cs="Times New Roman"/>
                <w:highlight w:val="green"/>
                <w:lang w:val="en-US" w:eastAsia="en-US" w:bidi="ar-SA"/>
              </w:rPr>
            </w:pPr>
            <w:r>
              <w:rPr>
                <w:rFonts w:ascii="Times New Roman" w:hAnsi="Times New Roman" w:eastAsia="MS Mincho" w:cs="Times New Roman"/>
                <w:highlight w:val="green"/>
                <w:lang w:val="en-US" w:eastAsia="en-US" w:bidi="ar-SA"/>
              </w:rPr>
              <w:t>Agreement</w:t>
            </w:r>
          </w:p>
          <w:p w14:paraId="6C70BE3A">
            <w:pPr>
              <w:numPr>
                <w:ilvl w:val="1"/>
                <w:numId w:val="3"/>
              </w:numPr>
              <w:overflowPunct/>
              <w:autoSpaceDE/>
              <w:autoSpaceDN w:val="0"/>
              <w:adjustRightInd/>
              <w:spacing w:after="120"/>
              <w:ind w:left="165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According to the SID, RAN4 to</w:t>
            </w:r>
            <w:r>
              <w:rPr>
                <w:rFonts w:hint="eastAsia" w:ascii="Times New Roman" w:hAnsi="Times New Roman" w:eastAsia="MS Mincho" w:cs="Times New Roman"/>
                <w:highlight w:val="green"/>
                <w:lang w:val="en-US" w:eastAsia="en-US" w:bidi="ar-SA"/>
              </w:rPr>
              <w:t xml:space="preserve"> </w:t>
            </w:r>
            <w:r>
              <w:rPr>
                <w:rFonts w:ascii="Times New Roman" w:hAnsi="Times New Roman" w:eastAsia="MS Mincho" w:cs="Times New Roman"/>
                <w:highlight w:val="green"/>
                <w:lang w:val="en-US" w:eastAsia="en-US" w:bidi="ar-SA"/>
              </w:rPr>
              <w:t>l</w:t>
            </w:r>
            <w:r>
              <w:rPr>
                <w:rFonts w:hint="eastAsia" w:ascii="Times New Roman" w:hAnsi="Times New Roman" w:eastAsia="MS Mincho" w:cs="Times New Roman"/>
                <w:highlight w:val="green"/>
                <w:lang w:val="en-US" w:eastAsia="en-US" w:bidi="ar-SA"/>
              </w:rPr>
              <w:t>everage the work from </w:t>
            </w:r>
            <w:r>
              <w:rPr>
                <w:rFonts w:ascii="Times New Roman" w:hAnsi="Times New Roman" w:eastAsia="MS Mincho" w:cs="Times New Roman"/>
                <w:highlight w:val="green"/>
                <w:lang w:val="en-US" w:eastAsia="en-US" w:bidi="ar-SA"/>
              </w:rPr>
              <w:t>“</w:t>
            </w:r>
            <w:r>
              <w:rPr>
                <w:rFonts w:hint="eastAsia" w:ascii="Times New Roman" w:hAnsi="Times New Roman" w:eastAsia="MS Mincho" w:cs="Times New Roman"/>
                <w:highlight w:val="green"/>
                <w:lang w:val="en-US" w:eastAsia="en-US" w:bidi="ar-SA"/>
              </w:rPr>
              <w:t>AI/ML for NR air interface</w:t>
            </w:r>
            <w:r>
              <w:rPr>
                <w:rFonts w:ascii="Times New Roman" w:hAnsi="Times New Roman" w:eastAsia="MS Mincho" w:cs="Times New Roman"/>
                <w:highlight w:val="green"/>
                <w:lang w:val="en-US" w:eastAsia="en-US" w:bidi="ar-SA"/>
              </w:rPr>
              <w:t>”</w:t>
            </w:r>
            <w:r>
              <w:rPr>
                <w:rFonts w:hint="eastAsia" w:ascii="Times New Roman" w:hAnsi="Times New Roman" w:eastAsia="MS Mincho" w:cs="Times New Roman"/>
                <w:highlight w:val="green"/>
                <w:lang w:val="en-US" w:eastAsia="en-US" w:bidi="ar-SA"/>
              </w:rPr>
              <w:t xml:space="preserve"> led by RAN1 and avoid the duplicate study for testability and interoperability. </w:t>
            </w:r>
          </w:p>
          <w:p w14:paraId="6BC913C0">
            <w:pPr>
              <w:numPr>
                <w:ilvl w:val="1"/>
                <w:numId w:val="3"/>
              </w:numPr>
              <w:overflowPunct/>
              <w:autoSpaceDE/>
              <w:autoSpaceDN w:val="0"/>
              <w:adjustRightInd/>
              <w:spacing w:after="120"/>
              <w:ind w:left="165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RAN4 will need to consider at least the following testability aspects for AI/ML-enabled mobility SI:</w:t>
            </w:r>
          </w:p>
          <w:p w14:paraId="551A6CCA">
            <w:pPr>
              <w:numPr>
                <w:ilvl w:val="2"/>
                <w:numId w:val="3"/>
              </w:numPr>
              <w:overflowPunct w:val="0"/>
              <w:autoSpaceDE w:val="0"/>
              <w:autoSpaceDN w:val="0"/>
              <w:adjustRightInd w:val="0"/>
              <w:spacing w:after="180"/>
              <w:ind w:left="237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Testing in FR1</w:t>
            </w:r>
          </w:p>
          <w:p w14:paraId="02BD681B">
            <w:pPr>
              <w:numPr>
                <w:ilvl w:val="2"/>
                <w:numId w:val="3"/>
              </w:numPr>
              <w:overflowPunct w:val="0"/>
              <w:autoSpaceDE w:val="0"/>
              <w:autoSpaceDN w:val="0"/>
              <w:adjustRightInd w:val="0"/>
              <w:spacing w:after="180"/>
              <w:ind w:left="237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Testing inter-carrier scenario, i.e., inter-frequency inter-cell prediction (for scenario 3)</w:t>
            </w:r>
          </w:p>
          <w:p w14:paraId="31111EB4">
            <w:pPr>
              <w:numPr>
                <w:ilvl w:val="2"/>
                <w:numId w:val="3"/>
              </w:numPr>
              <w:overflowPunct w:val="0"/>
              <w:autoSpaceDE w:val="0"/>
              <w:autoSpaceDN w:val="0"/>
              <w:adjustRightInd w:val="0"/>
              <w:spacing w:after="180"/>
              <w:ind w:left="237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Testing cell-level L3-RSRP measurements</w:t>
            </w:r>
          </w:p>
          <w:p w14:paraId="129B70F3">
            <w:pPr>
              <w:numPr>
                <w:ilvl w:val="2"/>
                <w:numId w:val="3"/>
              </w:numPr>
              <w:overflowPunct/>
              <w:autoSpaceDE/>
              <w:autoSpaceDN w:val="0"/>
              <w:adjustRightInd/>
              <w:spacing w:after="120"/>
              <w:ind w:left="237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Consideration of serving and neighbor cells</w:t>
            </w:r>
          </w:p>
          <w:p w14:paraId="4C079F2D">
            <w:pPr>
              <w:keepNext/>
              <w:keepLines/>
              <w:numPr>
                <w:ilvl w:val="3"/>
                <w:numId w:val="0"/>
              </w:numPr>
              <w:spacing w:before="120" w:after="180"/>
              <w:ind w:left="864" w:hanging="864"/>
              <w:outlineLvl w:val="3"/>
              <w:rPr>
                <w:rFonts w:ascii="Times New Roman" w:hAnsi="Times New Roman" w:eastAsia="MS Mincho" w:cs="Times New Roman"/>
                <w:b/>
                <w:bCs/>
                <w:kern w:val="0"/>
                <w:sz w:val="22"/>
                <w:szCs w:val="24"/>
                <w:u w:val="single"/>
                <w:lang w:eastAsia="zh-CN"/>
              </w:rPr>
            </w:pPr>
            <w:r>
              <w:rPr>
                <w:rFonts w:ascii="Times New Roman" w:hAnsi="Times New Roman" w:eastAsia="MS Mincho" w:cs="Times New Roman"/>
                <w:b/>
                <w:bCs/>
                <w:kern w:val="0"/>
                <w:sz w:val="22"/>
                <w:szCs w:val="24"/>
                <w:u w:val="single"/>
                <w:lang w:val="zh-CN" w:eastAsia="zh-CN"/>
              </w:rPr>
              <w:t>Issue 3-2-1: Testing in FR1</w:t>
            </w:r>
          </w:p>
          <w:p w14:paraId="333CDF28">
            <w:pPr>
              <w:numPr>
                <w:ilvl w:val="0"/>
                <w:numId w:val="3"/>
              </w:numPr>
              <w:overflowPunct/>
              <w:autoSpaceDE/>
              <w:autoSpaceDN/>
              <w:adjustRightInd/>
              <w:spacing w:after="120"/>
              <w:ind w:left="936" w:hanging="360" w:firstLineChars="0"/>
              <w:textAlignment w:val="auto"/>
              <w:rPr>
                <w:rFonts w:ascii="Times New Roman" w:hAnsi="Times New Roman" w:eastAsia="MS Mincho" w:cs="Times New Roman"/>
                <w:lang w:val="en-US" w:eastAsia="zh-CN" w:bidi="ar-SA"/>
              </w:rPr>
            </w:pPr>
            <w:r>
              <w:rPr>
                <w:rFonts w:ascii="Times New Roman" w:hAnsi="Times New Roman" w:eastAsia="MS Mincho" w:cs="Times New Roman"/>
                <w:color w:val="000000"/>
                <w:szCs w:val="24"/>
                <w:lang w:val="en-US" w:eastAsia="zh-CN" w:bidi="ar-SA"/>
              </w:rPr>
              <w:t>What way of testing to consider for FR1:</w:t>
            </w:r>
          </w:p>
          <w:p w14:paraId="7A3E690D">
            <w:pPr>
              <w:numPr>
                <w:ilvl w:val="1"/>
                <w:numId w:val="3"/>
              </w:numPr>
              <w:overflowPunct/>
              <w:autoSpaceDE/>
              <w:autoSpaceDN/>
              <w:adjustRightInd/>
              <w:spacing w:after="120"/>
              <w:ind w:left="1656" w:hanging="360" w:firstLineChars="0"/>
              <w:textAlignment w:val="auto"/>
              <w:rPr>
                <w:rFonts w:ascii="Times New Roman" w:hAnsi="Times New Roman" w:eastAsia="MS Mincho" w:cs="Times New Roman"/>
                <w:lang w:val="en-US" w:eastAsia="zh-CN" w:bidi="ar-SA"/>
              </w:rPr>
            </w:pPr>
            <w:r>
              <w:rPr>
                <w:rFonts w:ascii="Times New Roman" w:hAnsi="Times New Roman" w:eastAsia="MS Mincho" w:cs="Times New Roman"/>
                <w:color w:val="000000"/>
                <w:szCs w:val="24"/>
                <w:lang w:val="en-US" w:eastAsia="zh-CN" w:bidi="ar-SA"/>
              </w:rPr>
              <w:t>Candidate Options:</w:t>
            </w:r>
          </w:p>
          <w:p w14:paraId="00C72859">
            <w:pPr>
              <w:numPr>
                <w:ilvl w:val="2"/>
                <w:numId w:val="3"/>
              </w:numPr>
              <w:overflowPunct/>
              <w:autoSpaceDE/>
              <w:autoSpaceDN/>
              <w:adjustRightInd/>
              <w:spacing w:after="120"/>
              <w:ind w:left="2376" w:hanging="360" w:firstLineChars="0"/>
              <w:textAlignment w:val="auto"/>
              <w:rPr>
                <w:rFonts w:ascii="Times New Roman" w:hAnsi="Times New Roman" w:eastAsia="MS Mincho" w:cs="Times New Roman"/>
                <w:lang w:val="en-US" w:eastAsia="zh-CN" w:bidi="ar-SA"/>
              </w:rPr>
            </w:pPr>
            <w:r>
              <w:rPr>
                <w:rFonts w:ascii="Times New Roman" w:hAnsi="Times New Roman" w:eastAsia="MS Mincho" w:cs="Times New Roman"/>
                <w:color w:val="000000"/>
                <w:szCs w:val="24"/>
                <w:lang w:val="en-US" w:eastAsia="zh-CN" w:bidi="ar-SA"/>
              </w:rPr>
              <w:t>Option 1: OTA testing</w:t>
            </w:r>
          </w:p>
          <w:p w14:paraId="0A0B016F">
            <w:pPr>
              <w:numPr>
                <w:ilvl w:val="2"/>
                <w:numId w:val="3"/>
              </w:numPr>
              <w:overflowPunct/>
              <w:autoSpaceDE/>
              <w:autoSpaceDN/>
              <w:adjustRightInd/>
              <w:spacing w:after="120"/>
              <w:ind w:left="2376" w:hanging="360" w:firstLineChars="0"/>
              <w:textAlignment w:val="auto"/>
              <w:rPr>
                <w:rFonts w:ascii="Times New Roman" w:hAnsi="Times New Roman" w:eastAsia="MS Mincho" w:cs="Times New Roman"/>
                <w:lang w:val="en-US" w:eastAsia="zh-CN" w:bidi="ar-SA"/>
              </w:rPr>
            </w:pPr>
            <w:r>
              <w:rPr>
                <w:rFonts w:ascii="Times New Roman" w:hAnsi="Times New Roman" w:eastAsia="MS Mincho" w:cs="Times New Roman"/>
                <w:color w:val="000000"/>
                <w:szCs w:val="24"/>
                <w:lang w:val="en-US" w:eastAsia="zh-CN" w:bidi="ar-SA"/>
              </w:rPr>
              <w:t>Option 2: Conducted testing</w:t>
            </w:r>
          </w:p>
          <w:p w14:paraId="5587D721">
            <w:pPr>
              <w:numPr>
                <w:ilvl w:val="2"/>
                <w:numId w:val="3"/>
              </w:numPr>
              <w:overflowPunct/>
              <w:autoSpaceDE/>
              <w:autoSpaceDN/>
              <w:adjustRightInd/>
              <w:spacing w:after="120"/>
              <w:ind w:left="2376" w:hanging="360" w:firstLineChars="0"/>
              <w:textAlignment w:val="auto"/>
              <w:rPr>
                <w:rFonts w:ascii="Times New Roman" w:hAnsi="Times New Roman" w:eastAsia="MS Mincho" w:cs="Times New Roman"/>
                <w:lang w:val="en-US" w:eastAsia="zh-CN" w:bidi="ar-SA"/>
              </w:rPr>
            </w:pPr>
            <w:r>
              <w:rPr>
                <w:rFonts w:ascii="Times New Roman" w:hAnsi="Times New Roman" w:eastAsia="MS Mincho" w:cs="Times New Roman"/>
                <w:color w:val="000000"/>
                <w:szCs w:val="24"/>
                <w:lang w:val="en-US" w:eastAsia="zh-CN" w:bidi="ar-SA"/>
              </w:rPr>
              <w:t>Option 3: Both OTA and Conducted</w:t>
            </w:r>
          </w:p>
          <w:p w14:paraId="1289825D">
            <w:pPr>
              <w:numPr>
                <w:ilvl w:val="0"/>
                <w:numId w:val="4"/>
              </w:numPr>
              <w:overflowPunct w:val="0"/>
              <w:autoSpaceDE w:val="0"/>
              <w:autoSpaceDN w:val="0"/>
              <w:adjustRightInd w:val="0"/>
              <w:spacing w:after="120"/>
              <w:ind w:left="720" w:hanging="360" w:firstLineChars="0"/>
              <w:textAlignment w:val="baseline"/>
              <w:rPr>
                <w:rFonts w:ascii="Times New Roman" w:hAnsi="Times New Roman" w:eastAsia="MS Mincho" w:cs="Times New Roman"/>
                <w:color w:val="000000"/>
                <w:szCs w:val="24"/>
                <w:highlight w:val="green"/>
                <w:lang w:val="en-US" w:eastAsia="zh-CN" w:bidi="ar-SA"/>
              </w:rPr>
            </w:pPr>
            <w:r>
              <w:rPr>
                <w:rFonts w:ascii="Times New Roman" w:hAnsi="Times New Roman" w:eastAsia="MS Mincho" w:cs="Times New Roman"/>
                <w:color w:val="000000"/>
                <w:szCs w:val="24"/>
                <w:highlight w:val="green"/>
                <w:lang w:val="en-US" w:eastAsia="zh-CN" w:bidi="ar-SA"/>
              </w:rPr>
              <w:t>Agreement:</w:t>
            </w:r>
          </w:p>
          <w:p w14:paraId="796E1C02">
            <w:pPr>
              <w:numPr>
                <w:ilvl w:val="1"/>
                <w:numId w:val="4"/>
              </w:numPr>
              <w:overflowPunct w:val="0"/>
              <w:autoSpaceDE w:val="0"/>
              <w:autoSpaceDN w:val="0"/>
              <w:adjustRightInd w:val="0"/>
              <w:spacing w:after="120"/>
              <w:ind w:left="1440" w:hanging="360" w:firstLineChars="0"/>
              <w:textAlignment w:val="baseline"/>
              <w:rPr>
                <w:rFonts w:ascii="Times New Roman" w:hAnsi="Times New Roman" w:eastAsia="MS Mincho" w:cs="Times New Roman"/>
                <w:color w:val="000000"/>
                <w:szCs w:val="24"/>
                <w:highlight w:val="green"/>
                <w:lang w:val="en-US" w:eastAsia="zh-CN" w:bidi="ar-SA"/>
              </w:rPr>
            </w:pPr>
            <w:r>
              <w:rPr>
                <w:rFonts w:ascii="Times New Roman" w:hAnsi="Times New Roman" w:eastAsia="MS Mincho" w:cs="Times New Roman"/>
                <w:color w:val="000000"/>
                <w:szCs w:val="24"/>
                <w:highlight w:val="green"/>
                <w:lang w:val="en-US" w:eastAsia="zh-CN" w:bidi="ar-SA"/>
              </w:rPr>
              <w:t>RAN4 to consider Option 2 as a baseline option for testing in FR1.</w:t>
            </w:r>
          </w:p>
          <w:p w14:paraId="76FEEDBD">
            <w:pPr>
              <w:numPr>
                <w:ilvl w:val="2"/>
                <w:numId w:val="4"/>
              </w:numPr>
              <w:overflowPunct/>
              <w:autoSpaceDE/>
              <w:autoSpaceDN/>
              <w:adjustRightInd/>
              <w:spacing w:after="120"/>
              <w:ind w:left="2160" w:hanging="360" w:firstLineChars="0"/>
              <w:textAlignment w:val="auto"/>
              <w:rPr>
                <w:rFonts w:hint="default" w:ascii="Times New Roman" w:hAnsi="Times New Roman" w:eastAsia="MS Mincho" w:cs="Times New Roman"/>
                <w:kern w:val="0"/>
                <w:sz w:val="20"/>
                <w:szCs w:val="20"/>
                <w:vertAlign w:val="baseline"/>
                <w:lang w:val="en-US" w:eastAsia="zh-CN"/>
              </w:rPr>
            </w:pPr>
            <w:bookmarkStart w:id="5" w:name="_Hlk180134500"/>
            <w:r>
              <w:rPr>
                <w:rFonts w:ascii="Times New Roman" w:hAnsi="Times New Roman" w:eastAsia="MS Mincho" w:cs="Times New Roman"/>
                <w:color w:val="000000"/>
                <w:szCs w:val="24"/>
                <w:highlight w:val="green"/>
                <w:lang w:val="en-US" w:eastAsia="zh-CN" w:bidi="ar-SA"/>
              </w:rPr>
              <w:t>Option 2: Conducted testing</w:t>
            </w:r>
            <w:bookmarkEnd w:id="5"/>
          </w:p>
        </w:tc>
      </w:tr>
    </w:tbl>
    <w:p w14:paraId="18FEF636">
      <w:pPr>
        <w:spacing w:before="120" w:beforeLines="50" w:after="120" w:afterLines="50"/>
        <w:rPr>
          <w:rFonts w:hint="default" w:ascii="Times New Roman" w:hAnsi="Times New Roman" w:eastAsia="MS Mincho" w:cs="Times New Roman"/>
          <w:kern w:val="0"/>
          <w:sz w:val="20"/>
          <w:szCs w:val="20"/>
          <w:lang w:val="en-GB" w:eastAsia="ja-JP"/>
        </w:rPr>
      </w:pPr>
      <w:r>
        <w:rPr>
          <w:rFonts w:hint="eastAsia" w:ascii="Times New Roman" w:hAnsi="Times New Roman" w:eastAsia="宋体" w:cs="Times New Roman"/>
          <w:kern w:val="0"/>
          <w:sz w:val="20"/>
          <w:szCs w:val="20"/>
          <w:lang w:val="en-US" w:eastAsia="zh-CN"/>
        </w:rPr>
        <w:t xml:space="preserve">Based on the achieved agreements, our discussion focuses on RRM measurement prediction use-case at the present stage. </w:t>
      </w:r>
      <w:r>
        <w:rPr>
          <w:rFonts w:hint="default" w:ascii="Times New Roman" w:hAnsi="Times New Roman" w:eastAsia="MS Mincho" w:cs="Times New Roman"/>
          <w:kern w:val="0"/>
          <w:sz w:val="20"/>
          <w:szCs w:val="20"/>
          <w:lang w:val="en-GB" w:eastAsia="ja-JP"/>
        </w:rPr>
        <w:t xml:space="preserve">In this contribution, we would like to </w:t>
      </w:r>
      <w:r>
        <w:rPr>
          <w:rFonts w:hint="eastAsia" w:ascii="Times New Roman" w:hAnsi="Times New Roman" w:eastAsia="宋体" w:cs="Times New Roman"/>
          <w:kern w:val="0"/>
          <w:sz w:val="20"/>
          <w:szCs w:val="20"/>
          <w:lang w:val="en-US" w:eastAsia="zh-CN"/>
        </w:rPr>
        <w:t>share our further</w:t>
      </w:r>
      <w:r>
        <w:rPr>
          <w:rFonts w:hint="default" w:ascii="Times New Roman" w:hAnsi="Times New Roman" w:eastAsia="MS Mincho" w:cs="Times New Roman"/>
          <w:kern w:val="0"/>
          <w:sz w:val="20"/>
          <w:szCs w:val="20"/>
          <w:lang w:val="en-GB" w:eastAsia="ja-JP"/>
        </w:rPr>
        <w:t xml:space="preserve"> </w:t>
      </w:r>
      <w:r>
        <w:rPr>
          <w:rFonts w:hint="eastAsia" w:ascii="Times New Roman" w:hAnsi="Times New Roman" w:eastAsia="宋体" w:cs="Times New Roman"/>
          <w:kern w:val="0"/>
          <w:sz w:val="20"/>
          <w:szCs w:val="20"/>
          <w:lang w:val="en-US" w:eastAsia="zh-CN"/>
        </w:rPr>
        <w:t xml:space="preserve">consideration </w:t>
      </w:r>
      <w:r>
        <w:rPr>
          <w:rFonts w:hint="default" w:ascii="Times New Roman" w:hAnsi="Times New Roman" w:eastAsia="MS Mincho" w:cs="Times New Roman"/>
          <w:kern w:val="0"/>
          <w:sz w:val="20"/>
          <w:szCs w:val="20"/>
          <w:lang w:val="en-GB" w:eastAsia="ja-JP"/>
        </w:rPr>
        <w:t xml:space="preserve">on </w:t>
      </w:r>
      <w:r>
        <w:rPr>
          <w:rFonts w:hint="eastAsia" w:ascii="Times New Roman" w:hAnsi="Times New Roman" w:eastAsia="宋体" w:cs="Times New Roman"/>
          <w:kern w:val="0"/>
          <w:sz w:val="20"/>
          <w:szCs w:val="20"/>
          <w:lang w:val="en-US" w:eastAsia="zh-CN"/>
        </w:rPr>
        <w:t xml:space="preserve">the </w:t>
      </w:r>
      <w:r>
        <w:rPr>
          <w:rFonts w:hint="default" w:ascii="Times New Roman" w:hAnsi="Times New Roman" w:eastAsia="MS Mincho" w:cs="Times New Roman"/>
          <w:kern w:val="0"/>
          <w:sz w:val="20"/>
          <w:szCs w:val="20"/>
          <w:lang w:val="en-GB" w:eastAsia="ja-JP"/>
        </w:rPr>
        <w:t>testability and interoperability</w:t>
      </w:r>
      <w:r>
        <w:rPr>
          <w:rFonts w:hint="eastAsia" w:ascii="Times New Roman" w:hAnsi="Times New Roman" w:eastAsia="宋体" w:cs="Times New Roman"/>
          <w:kern w:val="0"/>
          <w:sz w:val="20"/>
          <w:szCs w:val="20"/>
          <w:lang w:val="en-US" w:eastAsia="zh-CN"/>
        </w:rPr>
        <w:t xml:space="preserve"> issues</w:t>
      </w:r>
      <w:r>
        <w:rPr>
          <w:rFonts w:hint="default" w:ascii="Times New Roman" w:hAnsi="Times New Roman" w:eastAsia="MS Mincho" w:cs="Times New Roman"/>
          <w:kern w:val="0"/>
          <w:sz w:val="20"/>
          <w:szCs w:val="20"/>
          <w:lang w:val="en-GB" w:eastAsia="ja-JP"/>
        </w:rPr>
        <w:t xml:space="preserve"> for AI</w:t>
      </w:r>
      <w:r>
        <w:rPr>
          <w:rFonts w:hint="eastAsia" w:ascii="Times New Roman" w:hAnsi="Times New Roman" w:eastAsia="宋体" w:cs="Times New Roman"/>
          <w:kern w:val="0"/>
          <w:sz w:val="20"/>
          <w:szCs w:val="20"/>
          <w:lang w:val="en-US" w:eastAsia="zh-CN"/>
        </w:rPr>
        <w:t>/</w:t>
      </w:r>
      <w:r>
        <w:rPr>
          <w:rFonts w:hint="default" w:ascii="Times New Roman" w:hAnsi="Times New Roman" w:eastAsia="MS Mincho" w:cs="Times New Roman"/>
          <w:kern w:val="0"/>
          <w:sz w:val="20"/>
          <w:szCs w:val="20"/>
          <w:lang w:val="en-GB" w:eastAsia="ja-JP"/>
        </w:rPr>
        <w:t>ML mobility and provide our proposals.</w:t>
      </w:r>
    </w:p>
    <w:p w14:paraId="563F0FEF">
      <w:pPr>
        <w:pStyle w:val="24"/>
        <w:keepNext/>
        <w:keepLines/>
        <w:numPr>
          <w:ilvl w:val="0"/>
          <w:numId w:val="5"/>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7565CC96">
      <w:pPr>
        <w:spacing w:before="120" w:beforeLines="50" w:after="120" w:afterLines="50"/>
        <w:rPr>
          <w:rFonts w:hint="eastAsia" w:ascii="Times New Roman" w:hAnsi="Times New Roman" w:eastAsia="宋体" w:cs="Times New Roman"/>
          <w:b/>
          <w:bCs w:val="0"/>
          <w:kern w:val="0"/>
          <w:sz w:val="20"/>
          <w:szCs w:val="20"/>
          <w:u w:val="single"/>
          <w:lang w:val="en-US" w:eastAsia="zh-CN"/>
        </w:rPr>
      </w:pPr>
      <w:bookmarkStart w:id="6" w:name="OLE_LINK9"/>
      <w:r>
        <w:rPr>
          <w:rFonts w:hint="eastAsia" w:ascii="Times New Roman" w:hAnsi="Times New Roman" w:eastAsia="宋体" w:cs="Times New Roman"/>
          <w:b/>
          <w:bCs w:val="0"/>
          <w:kern w:val="0"/>
          <w:sz w:val="20"/>
          <w:szCs w:val="20"/>
          <w:u w:val="single"/>
          <w:lang w:val="en-US" w:eastAsia="zh-CN"/>
        </w:rPr>
        <w:t>RRM measurement prediction</w:t>
      </w:r>
      <w:bookmarkEnd w:id="6"/>
    </w:p>
    <w:p w14:paraId="2DB408F1">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RAN2 has discussed the RRM measurement prediction for several meetings, and has agreed to focus on L3 filtered cell level measurement, while deprioritize L3 filtered beam level prediction cases. </w:t>
      </w:r>
    </w:p>
    <w:p w14:paraId="33F613E5">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3 sub-use cases listed below are considered for cell level RRM measurement prediction:</w:t>
      </w:r>
    </w:p>
    <w:p w14:paraId="6A64ED0F">
      <w:pPr>
        <w:numPr>
          <w:ilvl w:val="0"/>
          <w:numId w:val="6"/>
        </w:numPr>
        <w:spacing w:before="120" w:beforeLines="50" w:after="120" w:afterLines="50"/>
        <w:ind w:left="420" w:leftChars="0" w:hanging="420" w:firstLineChars="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Sub-use case 1: L1 beam-level measurement result(s) is predicted based on actual L1 beam-level measurement result(s) and then cell-level measurement result is generated </w:t>
      </w:r>
    </w:p>
    <w:p w14:paraId="1F37E0FE">
      <w:pPr>
        <w:numPr>
          <w:ilvl w:val="0"/>
          <w:numId w:val="6"/>
        </w:numPr>
        <w:spacing w:before="120" w:beforeLines="50" w:after="120" w:afterLines="50"/>
        <w:ind w:left="420" w:leftChars="0" w:hanging="420" w:firstLineChars="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Sub-use case 2: Cell-level measurement result(s) is predicted based on actual cell-level measurement result(s)</w:t>
      </w:r>
    </w:p>
    <w:p w14:paraId="69B98341">
      <w:pPr>
        <w:numPr>
          <w:ilvl w:val="0"/>
          <w:numId w:val="6"/>
        </w:numPr>
        <w:spacing w:before="120" w:beforeLines="50" w:after="120" w:afterLines="50"/>
        <w:ind w:left="420" w:leftChars="0" w:hanging="420" w:firstLineChars="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Sub-use case 3: Cell-level measurement result(s) is predicted based on actual L1 beam-level measurement result(s)</w:t>
      </w:r>
    </w:p>
    <w:p w14:paraId="4863A0F6">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In RAN4#112bis meeting, it was agreed to focus on the three high priority scenarios as ranked by RAN2.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4"/>
        <w:gridCol w:w="828"/>
        <w:gridCol w:w="4443"/>
        <w:gridCol w:w="1616"/>
        <w:gridCol w:w="1294"/>
      </w:tblGrid>
      <w:tr w14:paraId="245D1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3F6D93C">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scenario number</w:t>
            </w:r>
          </w:p>
        </w:tc>
        <w:tc>
          <w:tcPr>
            <w:tcW w:w="828" w:type="dxa"/>
          </w:tcPr>
          <w:p w14:paraId="1243BFB8">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 xml:space="preserve">Priority </w:t>
            </w:r>
          </w:p>
        </w:tc>
        <w:tc>
          <w:tcPr>
            <w:tcW w:w="4443" w:type="dxa"/>
          </w:tcPr>
          <w:p w14:paraId="667AC688">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Evaluation scenario</w:t>
            </w:r>
          </w:p>
        </w:tc>
        <w:tc>
          <w:tcPr>
            <w:tcW w:w="0" w:type="auto"/>
          </w:tcPr>
          <w:p w14:paraId="33F2B6ED">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Target study goal</w:t>
            </w:r>
          </w:p>
        </w:tc>
        <w:tc>
          <w:tcPr>
            <w:tcW w:w="0" w:type="auto"/>
          </w:tcPr>
          <w:p w14:paraId="5E57862A">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Methodology</w:t>
            </w:r>
          </w:p>
        </w:tc>
      </w:tr>
      <w:tr w14:paraId="11F6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38EAF81">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2</w:t>
            </w:r>
          </w:p>
        </w:tc>
        <w:tc>
          <w:tcPr>
            <w:tcW w:w="828" w:type="dxa"/>
          </w:tcPr>
          <w:p w14:paraId="387D82A6">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High</w:t>
            </w:r>
          </w:p>
        </w:tc>
        <w:tc>
          <w:tcPr>
            <w:tcW w:w="4443" w:type="dxa"/>
          </w:tcPr>
          <w:p w14:paraId="1BEDE8C8">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bookmarkStart w:id="7" w:name="OLE_LINK2"/>
            <w:r>
              <w:rPr>
                <w:rFonts w:hint="default" w:ascii="Times New Roman" w:hAnsi="Times New Roman" w:eastAsia="宋体" w:cs="Times New Roman"/>
                <w:b w:val="0"/>
                <w:bCs/>
                <w:kern w:val="0"/>
                <w:sz w:val="20"/>
                <w:szCs w:val="20"/>
                <w:highlight w:val="none"/>
                <w:lang w:val="en-US" w:eastAsia="zh-CN"/>
              </w:rPr>
              <w:t>FR1 to FR1 intra-frequency</w:t>
            </w:r>
            <w:bookmarkEnd w:id="7"/>
            <w:r>
              <w:rPr>
                <w:rFonts w:hint="default" w:ascii="Times New Roman" w:hAnsi="Times New Roman" w:eastAsia="宋体" w:cs="Times New Roman"/>
                <w:b w:val="0"/>
                <w:bCs/>
                <w:kern w:val="0"/>
                <w:sz w:val="20"/>
                <w:szCs w:val="20"/>
                <w:highlight w:val="none"/>
                <w:lang w:val="en-US" w:eastAsia="zh-CN"/>
              </w:rPr>
              <w:t xml:space="preserve"> temporal domain case B</w:t>
            </w:r>
          </w:p>
        </w:tc>
        <w:tc>
          <w:tcPr>
            <w:tcW w:w="0" w:type="auto"/>
          </w:tcPr>
          <w:p w14:paraId="223551AF">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1st goal</w:t>
            </w:r>
          </w:p>
        </w:tc>
        <w:tc>
          <w:tcPr>
            <w:tcW w:w="0" w:type="auto"/>
          </w:tcPr>
          <w:p w14:paraId="0DCB2DAE">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Intra-cell</w:t>
            </w:r>
          </w:p>
        </w:tc>
      </w:tr>
      <w:tr w14:paraId="5C50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C6593FD">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3</w:t>
            </w:r>
          </w:p>
        </w:tc>
        <w:tc>
          <w:tcPr>
            <w:tcW w:w="828" w:type="dxa"/>
          </w:tcPr>
          <w:p w14:paraId="10C50AAB">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High</w:t>
            </w:r>
          </w:p>
        </w:tc>
        <w:tc>
          <w:tcPr>
            <w:tcW w:w="4443" w:type="dxa"/>
          </w:tcPr>
          <w:p w14:paraId="2C096E27">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FR1 to FR1 inter-frequency (frequency domain)</w:t>
            </w:r>
          </w:p>
        </w:tc>
        <w:tc>
          <w:tcPr>
            <w:tcW w:w="0" w:type="auto"/>
          </w:tcPr>
          <w:p w14:paraId="346D014D">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1st goal</w:t>
            </w:r>
          </w:p>
        </w:tc>
        <w:tc>
          <w:tcPr>
            <w:tcW w:w="0" w:type="auto"/>
          </w:tcPr>
          <w:p w14:paraId="5F926296">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 xml:space="preserve">Inter-cell </w:t>
            </w:r>
          </w:p>
        </w:tc>
      </w:tr>
      <w:tr w14:paraId="42F3B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77C5A91">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4</w:t>
            </w:r>
          </w:p>
        </w:tc>
        <w:tc>
          <w:tcPr>
            <w:tcW w:w="828" w:type="dxa"/>
          </w:tcPr>
          <w:p w14:paraId="7580EDBD">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High</w:t>
            </w:r>
          </w:p>
        </w:tc>
        <w:tc>
          <w:tcPr>
            <w:tcW w:w="4443" w:type="dxa"/>
          </w:tcPr>
          <w:p w14:paraId="01D6211B">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FR2 to FR2 intra-frequency temporal domain case A</w:t>
            </w:r>
          </w:p>
        </w:tc>
        <w:tc>
          <w:tcPr>
            <w:tcW w:w="0" w:type="auto"/>
          </w:tcPr>
          <w:p w14:paraId="13D7BF0B">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2nd goal</w:t>
            </w:r>
          </w:p>
        </w:tc>
        <w:tc>
          <w:tcPr>
            <w:tcW w:w="0" w:type="auto"/>
          </w:tcPr>
          <w:p w14:paraId="24CE4EC6">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Intra-cell</w:t>
            </w:r>
          </w:p>
        </w:tc>
      </w:tr>
    </w:tbl>
    <w:p w14:paraId="560F07C0">
      <w:pPr>
        <w:numPr>
          <w:ilvl w:val="0"/>
          <w:numId w:val="0"/>
        </w:numPr>
        <w:spacing w:before="120" w:beforeLines="50" w:after="120" w:afterLines="5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highlight w:val="none"/>
          <w:lang w:val="en-US" w:eastAsia="zh-CN"/>
        </w:rPr>
        <w:t>To verify the accuracy of the predicted L3 filtered cell-level measurement result, suffic</w:t>
      </w:r>
      <w:r>
        <w:rPr>
          <w:rFonts w:hint="eastAsia" w:ascii="Times New Roman" w:hAnsi="Times New Roman" w:eastAsia="宋体" w:cs="Times New Roman"/>
          <w:b w:val="0"/>
          <w:bCs/>
          <w:kern w:val="0"/>
          <w:sz w:val="20"/>
          <w:szCs w:val="20"/>
          <w:lang w:val="en-US" w:eastAsia="zh-CN"/>
        </w:rPr>
        <w:t xml:space="preserve">ient randomness and </w:t>
      </w:r>
      <w:bookmarkStart w:id="8" w:name="OLE_LINK10"/>
      <w:r>
        <w:rPr>
          <w:rFonts w:hint="eastAsia" w:ascii="Times New Roman" w:hAnsi="Times New Roman" w:eastAsia="宋体" w:cs="Times New Roman"/>
          <w:b w:val="0"/>
          <w:bCs/>
          <w:kern w:val="0"/>
          <w:sz w:val="20"/>
          <w:szCs w:val="20"/>
          <w:lang w:val="en-US" w:eastAsia="zh-CN"/>
        </w:rPr>
        <w:t>variation in time and spatial domain</w:t>
      </w:r>
      <w:bookmarkEnd w:id="8"/>
      <w:r>
        <w:rPr>
          <w:rFonts w:hint="eastAsia" w:ascii="Times New Roman" w:hAnsi="Times New Roman" w:eastAsia="宋体" w:cs="Times New Roman"/>
          <w:b w:val="0"/>
          <w:bCs/>
          <w:kern w:val="0"/>
          <w:sz w:val="20"/>
          <w:szCs w:val="20"/>
          <w:lang w:val="en-US" w:eastAsia="zh-CN"/>
        </w:rPr>
        <w:t xml:space="preserve"> of </w:t>
      </w:r>
      <w:bookmarkStart w:id="9" w:name="OLE_LINK8"/>
      <w:r>
        <w:rPr>
          <w:rFonts w:hint="eastAsia" w:ascii="Times New Roman" w:hAnsi="Times New Roman" w:eastAsia="宋体" w:cs="Times New Roman"/>
          <w:b w:val="0"/>
          <w:bCs/>
          <w:kern w:val="0"/>
          <w:sz w:val="20"/>
          <w:szCs w:val="20"/>
          <w:lang w:val="en-US" w:eastAsia="zh-CN"/>
        </w:rPr>
        <w:t>Tx beam has to be configured in the test and emulated by the test equipment</w:t>
      </w:r>
      <w:bookmarkEnd w:id="9"/>
      <w:r>
        <w:rPr>
          <w:rFonts w:hint="eastAsia" w:ascii="Times New Roman" w:hAnsi="Times New Roman" w:eastAsia="宋体" w:cs="Times New Roman"/>
          <w:b w:val="0"/>
          <w:bCs/>
          <w:kern w:val="0"/>
          <w:sz w:val="20"/>
          <w:szCs w:val="20"/>
          <w:lang w:val="en-US" w:eastAsia="zh-CN"/>
        </w:rPr>
        <w:t xml:space="preserve">. For the scenarios of FR1 to FR1 inter-frequency intra-cell temporal domain case B and FR1 to FR1 inter-frequency inter-cell frequency domain, we understand that Tx beam number=1 can be assumed as the model input. </w:t>
      </w:r>
    </w:p>
    <w:p w14:paraId="6DEB3313">
      <w:pPr>
        <w:numPr>
          <w:ilvl w:val="0"/>
          <w:numId w:val="0"/>
        </w:numPr>
        <w:spacing w:before="120" w:beforeLines="50" w:after="120" w:afterLines="5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Similar as the discussion in NR_AIML_Air WI, the channel model assumption for RRM measurement prediction need to be agreed first. There are two channel model assumptions: AWGN channel and Fading channel. The AWGN channel is a deterministic channel, where signal power will be constant for both spatial and time domain. While, the Fading channel is a random channel, where variation in both spatial and time domain is included. </w:t>
      </w:r>
      <w:r>
        <w:rPr>
          <w:rFonts w:hint="eastAsia" w:ascii="Times New Roman" w:hAnsi="Times New Roman" w:eastAsia="宋体" w:cs="Times New Roman"/>
          <w:b w:val="0"/>
          <w:bCs/>
          <w:kern w:val="0"/>
          <w:sz w:val="20"/>
          <w:szCs w:val="20"/>
          <w:lang w:val="en-GB" w:eastAsia="zh-CN"/>
        </w:rPr>
        <w:t>It</w:t>
      </w:r>
      <w:r>
        <w:rPr>
          <w:rFonts w:hint="default" w:ascii="Times New Roman" w:hAnsi="Times New Roman" w:eastAsia="宋体" w:cs="Times New Roman"/>
          <w:b w:val="0"/>
          <w:bCs/>
          <w:kern w:val="0"/>
          <w:sz w:val="20"/>
          <w:szCs w:val="20"/>
          <w:lang w:val="en-US" w:eastAsia="zh-CN"/>
        </w:rPr>
        <w:t>’</w:t>
      </w:r>
      <w:r>
        <w:rPr>
          <w:rFonts w:hint="eastAsia" w:ascii="Times New Roman" w:hAnsi="Times New Roman" w:eastAsia="宋体" w:cs="Times New Roman"/>
          <w:b w:val="0"/>
          <w:bCs/>
          <w:kern w:val="0"/>
          <w:sz w:val="20"/>
          <w:szCs w:val="20"/>
          <w:lang w:val="en-GB" w:eastAsia="zh-CN"/>
        </w:rPr>
        <w:t>s hard to verify the prediction functionality introduced by AI</w:t>
      </w:r>
      <w:r>
        <w:rPr>
          <w:rFonts w:hint="eastAsia" w:ascii="Times New Roman" w:hAnsi="Times New Roman" w:eastAsia="宋体" w:cs="Times New Roman"/>
          <w:b w:val="0"/>
          <w:bCs/>
          <w:kern w:val="0"/>
          <w:sz w:val="20"/>
          <w:szCs w:val="20"/>
          <w:lang w:val="en-US" w:eastAsia="zh-CN"/>
        </w:rPr>
        <w:t xml:space="preserve"> using AWGN, </w:t>
      </w:r>
      <w:r>
        <w:rPr>
          <w:rFonts w:hint="eastAsia" w:ascii="Times New Roman" w:hAnsi="Times New Roman" w:eastAsia="宋体" w:cs="Times New Roman"/>
          <w:b w:val="0"/>
          <w:bCs/>
          <w:kern w:val="0"/>
          <w:sz w:val="20"/>
          <w:szCs w:val="20"/>
          <w:lang w:val="en-GB" w:eastAsia="zh-CN"/>
        </w:rPr>
        <w:t>since there is no any uncertainty in both spatial and time domain.</w:t>
      </w:r>
      <w:r>
        <w:rPr>
          <w:rFonts w:hint="eastAsia" w:ascii="Times New Roman" w:hAnsi="Times New Roman" w:eastAsia="宋体" w:cs="Times New Roman"/>
          <w:b w:val="0"/>
          <w:bCs/>
          <w:kern w:val="0"/>
          <w:sz w:val="20"/>
          <w:szCs w:val="20"/>
          <w:lang w:val="en-US" w:eastAsia="zh-CN"/>
        </w:rPr>
        <w:t xml:space="preserve"> Just as the progress achieved in Channel model assumption for AI based BM, we think the fading channel should be assumed in the test. For both the scenarios of FR1 to FR1 inter-frequency intra-cell temporal domain case B and FR1 to FR1 inter-frequency inter-cell frequency domain, we understand the variation in time domain would be enough for FR1 scenario, so the TDL channel model is preferred.</w:t>
      </w:r>
    </w:p>
    <w:p w14:paraId="6225BF26">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2</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For</w:t>
      </w:r>
      <w:r>
        <w:rPr>
          <w:rFonts w:hint="eastAsia" w:ascii="Times New Roman" w:hAnsi="Times New Roman" w:eastAsia="宋体" w:cs="Times New Roman"/>
          <w:b/>
          <w:kern w:val="0"/>
          <w:sz w:val="20"/>
          <w:szCs w:val="20"/>
          <w:lang w:val="en-US" w:eastAsia="zh-CN"/>
        </w:rPr>
        <w:t xml:space="preserve"> FR1</w:t>
      </w:r>
      <w:r>
        <w:rPr>
          <w:rFonts w:hint="default" w:ascii="Times New Roman" w:hAnsi="Times New Roman" w:eastAsia="宋体" w:cs="Times New Roman"/>
          <w:b/>
          <w:kern w:val="0"/>
          <w:sz w:val="20"/>
          <w:szCs w:val="20"/>
          <w:lang w:val="en-US" w:eastAsia="zh-CN"/>
        </w:rPr>
        <w:t xml:space="preserve"> RRM measurement prediction</w:t>
      </w:r>
      <w:r>
        <w:rPr>
          <w:rFonts w:hint="eastAsia" w:ascii="Times New Roman" w:hAnsi="Times New Roman" w:eastAsia="宋体" w:cs="Times New Roman"/>
          <w:b/>
          <w:kern w:val="0"/>
          <w:sz w:val="20"/>
          <w:szCs w:val="20"/>
          <w:lang w:val="en-US" w:eastAsia="zh-CN"/>
        </w:rPr>
        <w:t xml:space="preserve">, the configuration of 1 Tx </w:t>
      </w:r>
      <w:bookmarkStart w:id="10" w:name="_GoBack"/>
      <w:bookmarkEnd w:id="10"/>
      <w:r>
        <w:rPr>
          <w:rFonts w:hint="eastAsia" w:ascii="Times New Roman" w:hAnsi="Times New Roman" w:eastAsia="宋体" w:cs="Times New Roman"/>
          <w:b/>
          <w:kern w:val="0"/>
          <w:sz w:val="20"/>
          <w:szCs w:val="20"/>
          <w:lang w:val="en-US" w:eastAsia="zh-CN"/>
        </w:rPr>
        <w:t>and TDL channel model can be considered in the test.</w:t>
      </w:r>
    </w:p>
    <w:p w14:paraId="26DDD2FC">
      <w:pPr>
        <w:spacing w:before="120" w:beforeLines="50" w:after="120" w:afterLines="50"/>
        <w:rPr>
          <w:rFonts w:hint="default" w:ascii="Times New Roman" w:hAnsi="Times New Roman" w:eastAsia="Microsoft YaHei UI"/>
          <w:sz w:val="20"/>
          <w:szCs w:val="20"/>
          <w:shd w:val="clear" w:color="auto" w:fill="FFFFFF"/>
          <w:lang w:val="en-US" w:eastAsia="zh-CN"/>
        </w:rPr>
      </w:pPr>
      <w:r>
        <w:rPr>
          <w:rFonts w:hint="eastAsia" w:ascii="Times New Roman" w:hAnsi="Times New Roman" w:eastAsia="宋体" w:cs="Times New Roman"/>
          <w:b w:val="0"/>
          <w:bCs/>
          <w:kern w:val="0"/>
          <w:sz w:val="20"/>
          <w:szCs w:val="20"/>
          <w:highlight w:val="none"/>
          <w:lang w:val="en-US" w:eastAsia="zh-CN"/>
        </w:rPr>
        <w:t xml:space="preserve">In last meeting, RAN4 has concluded that conductive testing method could be used for AI/ML mobility test in FR1. We understand that in conductive test, the UE and TE are connected directly with RF cable. The TE can adjust the transmission power to </w:t>
      </w:r>
      <w:r>
        <w:rPr>
          <w:rFonts w:ascii="Times New Roman" w:hAnsi="Times New Roman" w:eastAsia="Microsoft YaHei UI"/>
          <w:sz w:val="20"/>
          <w:szCs w:val="20"/>
          <w:shd w:val="clear" w:color="auto" w:fill="FFFFFF"/>
        </w:rPr>
        <w:t>mimic the cell to be measured and the cell to be predicted</w:t>
      </w:r>
      <w:r>
        <w:rPr>
          <w:rFonts w:hint="eastAsia" w:ascii="Times New Roman" w:hAnsi="Times New Roman" w:eastAsia="Microsoft YaHei UI"/>
          <w:sz w:val="20"/>
          <w:szCs w:val="20"/>
          <w:shd w:val="clear" w:color="auto" w:fill="FFFFFF"/>
          <w:lang w:val="en-US" w:eastAsia="zh-CN"/>
        </w:rPr>
        <w:t xml:space="preserve"> similar to legacy approach. So, we agree to assume that the actual ground truth is available at the TE. However, we see some potential issues. As we support to use fading channel, the channel conditional is random in time domain. UE and TE need to align the time point when UE is supposed to conduct measurement. Otherwise, it</w:t>
      </w:r>
      <w:r>
        <w:rPr>
          <w:rFonts w:hint="default" w:ascii="Times New Roman" w:hAnsi="Times New Roman" w:eastAsia="Microsoft YaHei UI"/>
          <w:sz w:val="20"/>
          <w:szCs w:val="20"/>
          <w:shd w:val="clear" w:color="auto" w:fill="FFFFFF"/>
          <w:lang w:val="en-US" w:eastAsia="zh-CN"/>
        </w:rPr>
        <w:t>’</w:t>
      </w:r>
      <w:r>
        <w:rPr>
          <w:rFonts w:hint="eastAsia" w:ascii="Times New Roman" w:hAnsi="Times New Roman" w:eastAsia="Microsoft YaHei UI"/>
          <w:sz w:val="20"/>
          <w:szCs w:val="20"/>
          <w:shd w:val="clear" w:color="auto" w:fill="FFFFFF"/>
          <w:lang w:val="en-US" w:eastAsia="zh-CN"/>
        </w:rPr>
        <w:t>s hard to get the actual ground truth.</w:t>
      </w:r>
    </w:p>
    <w:p w14:paraId="1BAF8F31">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1</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 xml:space="preserve">For </w:t>
      </w:r>
      <w:r>
        <w:rPr>
          <w:rFonts w:hint="eastAsia" w:ascii="Times New Roman" w:hAnsi="Times New Roman" w:eastAsia="宋体" w:cs="Times New Roman"/>
          <w:b/>
          <w:kern w:val="0"/>
          <w:sz w:val="20"/>
          <w:szCs w:val="20"/>
          <w:lang w:val="en-US" w:eastAsia="zh-CN"/>
        </w:rPr>
        <w:t xml:space="preserve">FR1 </w:t>
      </w:r>
      <w:r>
        <w:rPr>
          <w:rFonts w:hint="default" w:ascii="Times New Roman" w:hAnsi="Times New Roman" w:eastAsia="宋体" w:cs="Times New Roman"/>
          <w:b/>
          <w:kern w:val="0"/>
          <w:sz w:val="20"/>
          <w:szCs w:val="20"/>
          <w:lang w:val="en-US" w:eastAsia="zh-CN"/>
        </w:rPr>
        <w:t>RRM measurement prediction</w:t>
      </w:r>
      <w:r>
        <w:rPr>
          <w:rFonts w:hint="eastAsia" w:ascii="Times New Roman" w:hAnsi="Times New Roman" w:eastAsia="宋体" w:cs="Times New Roman"/>
          <w:b/>
          <w:kern w:val="0"/>
          <w:sz w:val="20"/>
          <w:szCs w:val="20"/>
          <w:lang w:val="en-US" w:eastAsia="zh-CN"/>
        </w:rPr>
        <w:t>, RAN4 can assume that the actual ground truth is available at TE.</w:t>
      </w:r>
    </w:p>
    <w:p w14:paraId="16C16266">
      <w:pPr>
        <w:numPr>
          <w:ilvl w:val="0"/>
          <w:numId w:val="0"/>
        </w:numPr>
        <w:spacing w:before="120" w:beforeLines="50" w:after="120" w:afterLines="50"/>
        <w:rPr>
          <w:rFonts w:hint="default" w:ascii="Times New Roman" w:hAnsi="Times New Roman" w:eastAsia="Microsoft YaHei UI" w:cs="Times New Roman"/>
          <w:b w:val="0"/>
          <w:bCs/>
          <w:kern w:val="0"/>
          <w:sz w:val="20"/>
          <w:szCs w:val="20"/>
          <w:highlight w:val="none"/>
          <w:lang w:val="en-US" w:eastAsia="zh-CN"/>
        </w:rPr>
      </w:pPr>
      <w:r>
        <w:rPr>
          <w:rFonts w:hint="eastAsia" w:ascii="Times New Roman" w:hAnsi="Times New Roman" w:eastAsia="宋体" w:cs="Times New Roman"/>
          <w:b w:val="0"/>
          <w:bCs/>
          <w:kern w:val="0"/>
          <w:sz w:val="20"/>
          <w:szCs w:val="20"/>
          <w:lang w:val="en-US" w:eastAsia="zh-CN"/>
        </w:rPr>
        <w:t xml:space="preserve">Specifically, for the FR1 to FR1 inter-frequency inter-cell frequency domain scenario, the multi-cell configuration need to be pay more attention. To verify the accuracy of the </w:t>
      </w:r>
      <w:r>
        <w:rPr>
          <w:rFonts w:hint="eastAsia" w:ascii="Times New Roman" w:hAnsi="Times New Roman" w:eastAsia="宋体" w:cs="Times New Roman"/>
          <w:b w:val="0"/>
          <w:bCs/>
          <w:kern w:val="0"/>
          <w:sz w:val="20"/>
          <w:szCs w:val="20"/>
          <w:highlight w:val="none"/>
          <w:lang w:val="en-US" w:eastAsia="zh-CN"/>
        </w:rPr>
        <w:t>predicted L3 filtered cell-level measurement result in this scenario, multi-cell configuration in the test need to be further studied. We think the configuration in this case depends on the number of cells to be predicted, which needs to wait for RAN2 decision. If we only verify that case one</w:t>
      </w:r>
      <w:r>
        <w:rPr>
          <w:rFonts w:ascii="Times New Roman" w:hAnsi="Times New Roman" w:eastAsia="Microsoft YaHei UI"/>
          <w:sz w:val="20"/>
          <w:szCs w:val="20"/>
          <w:shd w:val="clear" w:color="auto" w:fill="FFFFFF"/>
        </w:rPr>
        <w:t xml:space="preserve"> cell to be measured and </w:t>
      </w:r>
      <w:r>
        <w:rPr>
          <w:rFonts w:hint="eastAsia" w:ascii="Times New Roman" w:hAnsi="Times New Roman" w:eastAsia="Microsoft YaHei UI"/>
          <w:sz w:val="20"/>
          <w:szCs w:val="20"/>
          <w:shd w:val="clear" w:color="auto" w:fill="FFFFFF"/>
          <w:lang w:val="en-US" w:eastAsia="zh-CN"/>
        </w:rPr>
        <w:t xml:space="preserve">one </w:t>
      </w:r>
      <w:r>
        <w:rPr>
          <w:rFonts w:ascii="Times New Roman" w:hAnsi="Times New Roman" w:eastAsia="Microsoft YaHei UI"/>
          <w:sz w:val="20"/>
          <w:szCs w:val="20"/>
          <w:shd w:val="clear" w:color="auto" w:fill="FFFFFF"/>
        </w:rPr>
        <w:t>cell to be predicted</w:t>
      </w:r>
      <w:r>
        <w:rPr>
          <w:rFonts w:hint="eastAsia" w:ascii="Times New Roman" w:hAnsi="Times New Roman" w:eastAsia="Microsoft YaHei UI"/>
          <w:sz w:val="20"/>
          <w:szCs w:val="20"/>
          <w:shd w:val="clear" w:color="auto" w:fill="FFFFFF"/>
          <w:lang w:val="en-US" w:eastAsia="zh-CN"/>
        </w:rPr>
        <w:t xml:space="preserve">, we understand that the legacy test setup can be used as baseline. If we need to verify the case one cell to be measured and multiple cells to be </w:t>
      </w:r>
      <w:r>
        <w:rPr>
          <w:rFonts w:ascii="Times New Roman" w:hAnsi="Times New Roman" w:eastAsia="Microsoft YaHei UI"/>
          <w:sz w:val="20"/>
          <w:szCs w:val="20"/>
          <w:shd w:val="clear" w:color="auto" w:fill="FFFFFF"/>
        </w:rPr>
        <w:t>predicted</w:t>
      </w:r>
      <w:r>
        <w:rPr>
          <w:rFonts w:hint="eastAsia" w:ascii="Times New Roman" w:hAnsi="Times New Roman" w:eastAsia="Microsoft YaHei UI"/>
          <w:sz w:val="20"/>
          <w:szCs w:val="20"/>
          <w:shd w:val="clear" w:color="auto" w:fill="FFFFFF"/>
          <w:lang w:val="en-US" w:eastAsia="zh-CN"/>
        </w:rPr>
        <w:t>, we think the test setup need to be further studied.</w:t>
      </w:r>
    </w:p>
    <w:p w14:paraId="2B24E0CE">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3</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For the scenario of</w:t>
      </w:r>
      <w:r>
        <w:rPr>
          <w:rFonts w:hint="default" w:ascii="Times New Roman" w:hAnsi="Times New Roman" w:eastAsia="宋体" w:cs="Times New Roman"/>
          <w:b/>
          <w:kern w:val="0"/>
          <w:sz w:val="20"/>
          <w:szCs w:val="20"/>
          <w:lang w:val="en-US" w:eastAsia="zh-CN"/>
        </w:rPr>
        <w:t xml:space="preserve"> FR1 to FR1 inter-frequency inter-cell frequency domain scenario,</w:t>
      </w:r>
      <w:r>
        <w:rPr>
          <w:rFonts w:hint="eastAsia" w:ascii="Times New Roman" w:hAnsi="Times New Roman" w:eastAsia="宋体" w:cs="Times New Roman"/>
          <w:b/>
          <w:kern w:val="0"/>
          <w:sz w:val="20"/>
          <w:szCs w:val="20"/>
          <w:lang w:val="en-US" w:eastAsia="zh-CN"/>
        </w:rPr>
        <w:t xml:space="preserve"> multi-cell setup in the test need to be further studied.</w:t>
      </w:r>
    </w:p>
    <w:p w14:paraId="57C25EFE">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For FR2</w:t>
      </w:r>
      <w:r>
        <w:rPr>
          <w:rFonts w:hint="default" w:ascii="Times New Roman" w:hAnsi="Times New Roman" w:eastAsia="宋体" w:cs="Times New Roman"/>
          <w:b w:val="0"/>
          <w:bCs/>
          <w:kern w:val="0"/>
          <w:sz w:val="20"/>
          <w:szCs w:val="20"/>
          <w:lang w:val="en-US" w:eastAsia="zh-CN"/>
        </w:rPr>
        <w:t xml:space="preserve"> RRM measurement prediction</w:t>
      </w:r>
      <w:r>
        <w:rPr>
          <w:rFonts w:hint="eastAsia" w:ascii="Times New Roman" w:hAnsi="Times New Roman" w:eastAsia="宋体" w:cs="Times New Roman"/>
          <w:b w:val="0"/>
          <w:bCs/>
          <w:kern w:val="0"/>
          <w:sz w:val="20"/>
          <w:szCs w:val="20"/>
          <w:lang w:val="en-US" w:eastAsia="zh-CN"/>
        </w:rPr>
        <w:t xml:space="preserve">, we understand that we face the similar testability issues as in NR_AIML_Air WI. We think the conclusions on testability achieved in NR_AIML_Air WI can be taken as baseline. </w:t>
      </w:r>
    </w:p>
    <w:p w14:paraId="1099EB3D">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4</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For FR2 measurement prediction, conclusions on testability that RAN4 made for AI/ML BM can be taken as a baseline.</w:t>
      </w:r>
    </w:p>
    <w:p w14:paraId="511823B6">
      <w:pPr>
        <w:pStyle w:val="24"/>
        <w:keepNext/>
        <w:keepLines/>
        <w:numPr>
          <w:ilvl w:val="0"/>
          <w:numId w:val="5"/>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18B87C7D">
      <w:pPr>
        <w:spacing w:before="120" w:beforeLines="50" w:after="120" w:afterLines="50"/>
        <w:rPr>
          <w:rFonts w:hint="eastAsia" w:ascii="Times New Roman" w:hAnsi="Times New Roman" w:eastAsia="Microsoft YaHei UI"/>
          <w:sz w:val="20"/>
          <w:szCs w:val="20"/>
          <w:shd w:val="clear" w:color="auto" w:fill="FFFFFF"/>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1</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 xml:space="preserve">For </w:t>
      </w:r>
      <w:r>
        <w:rPr>
          <w:rFonts w:hint="eastAsia" w:ascii="Times New Roman" w:hAnsi="Times New Roman" w:eastAsia="宋体" w:cs="Times New Roman"/>
          <w:b/>
          <w:kern w:val="0"/>
          <w:sz w:val="20"/>
          <w:szCs w:val="20"/>
          <w:lang w:val="en-US" w:eastAsia="zh-CN"/>
        </w:rPr>
        <w:t xml:space="preserve">FR1 </w:t>
      </w:r>
      <w:r>
        <w:rPr>
          <w:rFonts w:hint="default" w:ascii="Times New Roman" w:hAnsi="Times New Roman" w:eastAsia="宋体" w:cs="Times New Roman"/>
          <w:b/>
          <w:kern w:val="0"/>
          <w:sz w:val="20"/>
          <w:szCs w:val="20"/>
          <w:lang w:val="en-US" w:eastAsia="zh-CN"/>
        </w:rPr>
        <w:t>RRM measurement prediction</w:t>
      </w:r>
      <w:r>
        <w:rPr>
          <w:rFonts w:hint="eastAsia" w:ascii="Times New Roman" w:hAnsi="Times New Roman" w:eastAsia="宋体" w:cs="Times New Roman"/>
          <w:b/>
          <w:kern w:val="0"/>
          <w:sz w:val="20"/>
          <w:szCs w:val="20"/>
          <w:lang w:val="en-US" w:eastAsia="zh-CN"/>
        </w:rPr>
        <w:t>, RAN4 can assume that the actual ground truth is available at TE.</w:t>
      </w:r>
    </w:p>
    <w:p w14:paraId="2EE47FB2">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2</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For</w:t>
      </w:r>
      <w:r>
        <w:rPr>
          <w:rFonts w:hint="eastAsia" w:ascii="Times New Roman" w:hAnsi="Times New Roman" w:eastAsia="宋体" w:cs="Times New Roman"/>
          <w:b/>
          <w:kern w:val="0"/>
          <w:sz w:val="20"/>
          <w:szCs w:val="20"/>
          <w:lang w:val="en-US" w:eastAsia="zh-CN"/>
        </w:rPr>
        <w:t xml:space="preserve"> FR1</w:t>
      </w:r>
      <w:r>
        <w:rPr>
          <w:rFonts w:hint="default" w:ascii="Times New Roman" w:hAnsi="Times New Roman" w:eastAsia="宋体" w:cs="Times New Roman"/>
          <w:b/>
          <w:kern w:val="0"/>
          <w:sz w:val="20"/>
          <w:szCs w:val="20"/>
          <w:lang w:val="en-US" w:eastAsia="zh-CN"/>
        </w:rPr>
        <w:t xml:space="preserve"> RRM measurement prediction</w:t>
      </w:r>
      <w:r>
        <w:rPr>
          <w:rFonts w:hint="eastAsia" w:ascii="Times New Roman" w:hAnsi="Times New Roman" w:eastAsia="宋体" w:cs="Times New Roman"/>
          <w:b/>
          <w:kern w:val="0"/>
          <w:sz w:val="20"/>
          <w:szCs w:val="20"/>
          <w:lang w:val="en-US" w:eastAsia="zh-CN"/>
        </w:rPr>
        <w:t>, the configuration of 1 Tx and TDL channel model can be considered in the test.</w:t>
      </w:r>
    </w:p>
    <w:p w14:paraId="1786A31D">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3</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For the scenario of</w:t>
      </w:r>
      <w:r>
        <w:rPr>
          <w:rFonts w:hint="default" w:ascii="Times New Roman" w:hAnsi="Times New Roman" w:eastAsia="宋体" w:cs="Times New Roman"/>
          <w:b/>
          <w:kern w:val="0"/>
          <w:sz w:val="20"/>
          <w:szCs w:val="20"/>
          <w:lang w:val="en-US" w:eastAsia="zh-CN"/>
        </w:rPr>
        <w:t xml:space="preserve"> FR1 to FR1 inter-frequency inter-cell frequency domain scenario,</w:t>
      </w:r>
      <w:r>
        <w:rPr>
          <w:rFonts w:hint="eastAsia" w:ascii="Times New Roman" w:hAnsi="Times New Roman" w:eastAsia="宋体" w:cs="Times New Roman"/>
          <w:b/>
          <w:kern w:val="0"/>
          <w:sz w:val="20"/>
          <w:szCs w:val="20"/>
          <w:lang w:val="en-US" w:eastAsia="zh-CN"/>
        </w:rPr>
        <w:t xml:space="preserve"> multi-cell setup in the test need to be further studied.</w:t>
      </w:r>
    </w:p>
    <w:p w14:paraId="427A4BAD">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4</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For FR2 measurement prediction, conclusions on testability that RAN4 made for AI/ML BM can be taken as a baseline.</w:t>
      </w:r>
    </w:p>
    <w:p w14:paraId="29E4F938">
      <w:pPr>
        <w:pStyle w:val="56"/>
        <w:spacing w:line="288" w:lineRule="auto"/>
        <w:rPr>
          <w:rFonts w:eastAsia="宋体"/>
          <w:b/>
          <w:bCs/>
          <w:lang w:val="en-GB"/>
        </w:rPr>
      </w:pPr>
    </w:p>
    <w:p w14:paraId="014DC420">
      <w:pPr>
        <w:pStyle w:val="24"/>
        <w:keepNext/>
        <w:keepLines/>
        <w:numPr>
          <w:ilvl w:val="0"/>
          <w:numId w:val="5"/>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7E8C069B">
      <w:pPr>
        <w:numPr>
          <w:ilvl w:val="0"/>
          <w:numId w:val="7"/>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R4-2416855</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WF on RRM requirements for FS_NR_AIML_Mob</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 xml:space="preserve">Nokia </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0812D5"/>
    <w:multiLevelType w:val="multilevel"/>
    <w:tmpl w:val="200812D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15B285E"/>
    <w:multiLevelType w:val="multilevel"/>
    <w:tmpl w:val="415B285E"/>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606BEBA"/>
    <w:multiLevelType w:val="singleLevel"/>
    <w:tmpl w:val="7606BEBA"/>
    <w:lvl w:ilvl="0" w:tentative="0">
      <w:start w:val="1"/>
      <w:numFmt w:val="decimal"/>
      <w:suff w:val="space"/>
      <w:lvlText w:val="[%1]"/>
      <w:lvlJc w:val="left"/>
    </w:lvl>
  </w:abstractNum>
  <w:num w:numId="1">
    <w:abstractNumId w:val="3"/>
  </w:num>
  <w:num w:numId="2">
    <w:abstractNumId w:val="5"/>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3A6022"/>
    <w:rsid w:val="015554A4"/>
    <w:rsid w:val="019424BE"/>
    <w:rsid w:val="01992300"/>
    <w:rsid w:val="01C34939"/>
    <w:rsid w:val="01DB7ED5"/>
    <w:rsid w:val="01E0373D"/>
    <w:rsid w:val="021F7DC1"/>
    <w:rsid w:val="02317AF5"/>
    <w:rsid w:val="0232479F"/>
    <w:rsid w:val="024A4392"/>
    <w:rsid w:val="024C1B2A"/>
    <w:rsid w:val="025A704C"/>
    <w:rsid w:val="025E3EE7"/>
    <w:rsid w:val="02751A20"/>
    <w:rsid w:val="0286604A"/>
    <w:rsid w:val="02D06700"/>
    <w:rsid w:val="03365100"/>
    <w:rsid w:val="03827615"/>
    <w:rsid w:val="03913E39"/>
    <w:rsid w:val="03B15391"/>
    <w:rsid w:val="040D42FA"/>
    <w:rsid w:val="04194A97"/>
    <w:rsid w:val="04A22E57"/>
    <w:rsid w:val="04E83035"/>
    <w:rsid w:val="0511629C"/>
    <w:rsid w:val="053425E6"/>
    <w:rsid w:val="053905E6"/>
    <w:rsid w:val="053A445F"/>
    <w:rsid w:val="054741D8"/>
    <w:rsid w:val="055374A2"/>
    <w:rsid w:val="058E038E"/>
    <w:rsid w:val="0591353A"/>
    <w:rsid w:val="059E7B97"/>
    <w:rsid w:val="05A827C4"/>
    <w:rsid w:val="05CC64B2"/>
    <w:rsid w:val="05D9200B"/>
    <w:rsid w:val="06437F8E"/>
    <w:rsid w:val="065B3392"/>
    <w:rsid w:val="067526A6"/>
    <w:rsid w:val="06D03D80"/>
    <w:rsid w:val="06FE0069"/>
    <w:rsid w:val="071A0439"/>
    <w:rsid w:val="07466F91"/>
    <w:rsid w:val="07754928"/>
    <w:rsid w:val="0788465B"/>
    <w:rsid w:val="078A5965"/>
    <w:rsid w:val="07A47FD8"/>
    <w:rsid w:val="07B74F40"/>
    <w:rsid w:val="07DD49A7"/>
    <w:rsid w:val="07E54304"/>
    <w:rsid w:val="07EF6488"/>
    <w:rsid w:val="07F26B0C"/>
    <w:rsid w:val="08142BE4"/>
    <w:rsid w:val="0834033F"/>
    <w:rsid w:val="08397703"/>
    <w:rsid w:val="085355EF"/>
    <w:rsid w:val="0864151C"/>
    <w:rsid w:val="086735A3"/>
    <w:rsid w:val="086B654C"/>
    <w:rsid w:val="08A13C26"/>
    <w:rsid w:val="08C35BCC"/>
    <w:rsid w:val="08EB6C4F"/>
    <w:rsid w:val="08F43C68"/>
    <w:rsid w:val="091D0DD3"/>
    <w:rsid w:val="092B4153"/>
    <w:rsid w:val="094674BE"/>
    <w:rsid w:val="09AF3CD4"/>
    <w:rsid w:val="0A021F2E"/>
    <w:rsid w:val="0A0C7595"/>
    <w:rsid w:val="0A404F63"/>
    <w:rsid w:val="0A673EF3"/>
    <w:rsid w:val="0ABA0FCF"/>
    <w:rsid w:val="0ADD14FB"/>
    <w:rsid w:val="0B1245E8"/>
    <w:rsid w:val="0B3F3282"/>
    <w:rsid w:val="0B454EBC"/>
    <w:rsid w:val="0B792C38"/>
    <w:rsid w:val="0B901D30"/>
    <w:rsid w:val="0C796C68"/>
    <w:rsid w:val="0CB657C6"/>
    <w:rsid w:val="0CCB7EBA"/>
    <w:rsid w:val="0CE64323"/>
    <w:rsid w:val="0CF31220"/>
    <w:rsid w:val="0D0E5602"/>
    <w:rsid w:val="0D2E1801"/>
    <w:rsid w:val="0D3A1F53"/>
    <w:rsid w:val="0D3F3A0E"/>
    <w:rsid w:val="0D58687D"/>
    <w:rsid w:val="0D636733"/>
    <w:rsid w:val="0DF30354"/>
    <w:rsid w:val="0E157954"/>
    <w:rsid w:val="0E4235CD"/>
    <w:rsid w:val="0EC5388C"/>
    <w:rsid w:val="0ECE1FF2"/>
    <w:rsid w:val="0ED13166"/>
    <w:rsid w:val="0EDD4F42"/>
    <w:rsid w:val="0EDE4A54"/>
    <w:rsid w:val="0F411287"/>
    <w:rsid w:val="0F4277E5"/>
    <w:rsid w:val="0F4D3059"/>
    <w:rsid w:val="0F917DE8"/>
    <w:rsid w:val="0F98794A"/>
    <w:rsid w:val="0FA34C09"/>
    <w:rsid w:val="0FF55E55"/>
    <w:rsid w:val="0FFE157A"/>
    <w:rsid w:val="0FFF1232"/>
    <w:rsid w:val="103A5CAF"/>
    <w:rsid w:val="103C5FE2"/>
    <w:rsid w:val="104B4477"/>
    <w:rsid w:val="105F7F23"/>
    <w:rsid w:val="10E072B6"/>
    <w:rsid w:val="10FC65BF"/>
    <w:rsid w:val="1102255C"/>
    <w:rsid w:val="1102722C"/>
    <w:rsid w:val="11765524"/>
    <w:rsid w:val="11825F5B"/>
    <w:rsid w:val="11A976A8"/>
    <w:rsid w:val="11BA012C"/>
    <w:rsid w:val="11C10D7F"/>
    <w:rsid w:val="11D706B9"/>
    <w:rsid w:val="12035A07"/>
    <w:rsid w:val="12EC02E4"/>
    <w:rsid w:val="12FB5D8F"/>
    <w:rsid w:val="138F035B"/>
    <w:rsid w:val="13BB36C2"/>
    <w:rsid w:val="14410B0B"/>
    <w:rsid w:val="144933C4"/>
    <w:rsid w:val="14670F3B"/>
    <w:rsid w:val="14A2292A"/>
    <w:rsid w:val="14C2372B"/>
    <w:rsid w:val="14C30A80"/>
    <w:rsid w:val="150F6DF8"/>
    <w:rsid w:val="157E6A6B"/>
    <w:rsid w:val="15932B49"/>
    <w:rsid w:val="15B8435D"/>
    <w:rsid w:val="15FA088E"/>
    <w:rsid w:val="15FA2BC8"/>
    <w:rsid w:val="16283474"/>
    <w:rsid w:val="163836F0"/>
    <w:rsid w:val="1659551A"/>
    <w:rsid w:val="16EF3DAF"/>
    <w:rsid w:val="170A0BE8"/>
    <w:rsid w:val="171E4C4A"/>
    <w:rsid w:val="173A5A2D"/>
    <w:rsid w:val="1759391E"/>
    <w:rsid w:val="17F673BF"/>
    <w:rsid w:val="18426FD0"/>
    <w:rsid w:val="18814EDA"/>
    <w:rsid w:val="18FA1758"/>
    <w:rsid w:val="195530E3"/>
    <w:rsid w:val="19670F1B"/>
    <w:rsid w:val="199F2C6B"/>
    <w:rsid w:val="19F618F8"/>
    <w:rsid w:val="1A177C84"/>
    <w:rsid w:val="1A3A40CE"/>
    <w:rsid w:val="1A425A24"/>
    <w:rsid w:val="1A512FD2"/>
    <w:rsid w:val="1A6515CA"/>
    <w:rsid w:val="1A941474"/>
    <w:rsid w:val="1AA2738A"/>
    <w:rsid w:val="1AB443F7"/>
    <w:rsid w:val="1AB72134"/>
    <w:rsid w:val="1AB8095B"/>
    <w:rsid w:val="1AEB0BFD"/>
    <w:rsid w:val="1AF5395E"/>
    <w:rsid w:val="1AF54531"/>
    <w:rsid w:val="1B0C144B"/>
    <w:rsid w:val="1B225C27"/>
    <w:rsid w:val="1B23431E"/>
    <w:rsid w:val="1B401473"/>
    <w:rsid w:val="1B701236"/>
    <w:rsid w:val="1B9E6579"/>
    <w:rsid w:val="1BCA6B98"/>
    <w:rsid w:val="1BEB72C3"/>
    <w:rsid w:val="1C0F18DB"/>
    <w:rsid w:val="1C443FD4"/>
    <w:rsid w:val="1C533C31"/>
    <w:rsid w:val="1C6629EC"/>
    <w:rsid w:val="1D1A76AB"/>
    <w:rsid w:val="1D417F1F"/>
    <w:rsid w:val="1D46765C"/>
    <w:rsid w:val="1DA03307"/>
    <w:rsid w:val="1E032835"/>
    <w:rsid w:val="1E0B5246"/>
    <w:rsid w:val="1EBB7F97"/>
    <w:rsid w:val="1ED41491"/>
    <w:rsid w:val="1EE305C4"/>
    <w:rsid w:val="1EE91A2B"/>
    <w:rsid w:val="1F0210D8"/>
    <w:rsid w:val="1F176423"/>
    <w:rsid w:val="1F664E2A"/>
    <w:rsid w:val="1F675381"/>
    <w:rsid w:val="1F7237CF"/>
    <w:rsid w:val="1F7C7D01"/>
    <w:rsid w:val="1F8D23B7"/>
    <w:rsid w:val="1FA26EEB"/>
    <w:rsid w:val="1FD576A0"/>
    <w:rsid w:val="2029138B"/>
    <w:rsid w:val="20555B3C"/>
    <w:rsid w:val="20A56D20"/>
    <w:rsid w:val="20C54D60"/>
    <w:rsid w:val="20D14525"/>
    <w:rsid w:val="20D7393A"/>
    <w:rsid w:val="20DB35F6"/>
    <w:rsid w:val="20DE15FA"/>
    <w:rsid w:val="21052421"/>
    <w:rsid w:val="21464CF5"/>
    <w:rsid w:val="2170711F"/>
    <w:rsid w:val="21971062"/>
    <w:rsid w:val="21A25EC1"/>
    <w:rsid w:val="21F26E49"/>
    <w:rsid w:val="22561186"/>
    <w:rsid w:val="22592A24"/>
    <w:rsid w:val="2277734E"/>
    <w:rsid w:val="22853819"/>
    <w:rsid w:val="22AC524A"/>
    <w:rsid w:val="22B937E1"/>
    <w:rsid w:val="22C24A6D"/>
    <w:rsid w:val="22C97BAA"/>
    <w:rsid w:val="22D14E7D"/>
    <w:rsid w:val="22FE2588"/>
    <w:rsid w:val="230D345A"/>
    <w:rsid w:val="231F3C6E"/>
    <w:rsid w:val="233C0AA7"/>
    <w:rsid w:val="23456732"/>
    <w:rsid w:val="23503E27"/>
    <w:rsid w:val="236C49D9"/>
    <w:rsid w:val="2398414F"/>
    <w:rsid w:val="239D76F7"/>
    <w:rsid w:val="23C051AF"/>
    <w:rsid w:val="23D45F8E"/>
    <w:rsid w:val="240D3AC6"/>
    <w:rsid w:val="240D3E70"/>
    <w:rsid w:val="2419493C"/>
    <w:rsid w:val="241E3F25"/>
    <w:rsid w:val="24303C58"/>
    <w:rsid w:val="24575689"/>
    <w:rsid w:val="24596D0B"/>
    <w:rsid w:val="24763D61"/>
    <w:rsid w:val="24861ACA"/>
    <w:rsid w:val="24A43132"/>
    <w:rsid w:val="24C30629"/>
    <w:rsid w:val="24F07BEB"/>
    <w:rsid w:val="24F41CD4"/>
    <w:rsid w:val="25056E93"/>
    <w:rsid w:val="251B2213"/>
    <w:rsid w:val="252D58FF"/>
    <w:rsid w:val="25B368EF"/>
    <w:rsid w:val="25EB7E37"/>
    <w:rsid w:val="25F211C5"/>
    <w:rsid w:val="267E0CAB"/>
    <w:rsid w:val="267E514F"/>
    <w:rsid w:val="267F67D1"/>
    <w:rsid w:val="26B35307"/>
    <w:rsid w:val="26C27851"/>
    <w:rsid w:val="2725381D"/>
    <w:rsid w:val="27271343"/>
    <w:rsid w:val="272730F1"/>
    <w:rsid w:val="278B7B24"/>
    <w:rsid w:val="27C46B92"/>
    <w:rsid w:val="27D84E93"/>
    <w:rsid w:val="280A144A"/>
    <w:rsid w:val="282201FE"/>
    <w:rsid w:val="28417D61"/>
    <w:rsid w:val="28506677"/>
    <w:rsid w:val="28564FB5"/>
    <w:rsid w:val="29175F8A"/>
    <w:rsid w:val="291853E7"/>
    <w:rsid w:val="2919115F"/>
    <w:rsid w:val="291E0523"/>
    <w:rsid w:val="296362FE"/>
    <w:rsid w:val="2967011C"/>
    <w:rsid w:val="296F6B21"/>
    <w:rsid w:val="297206B2"/>
    <w:rsid w:val="29AF078E"/>
    <w:rsid w:val="29CA4207"/>
    <w:rsid w:val="29CE019B"/>
    <w:rsid w:val="29D62BAC"/>
    <w:rsid w:val="29D7493D"/>
    <w:rsid w:val="2A1025F9"/>
    <w:rsid w:val="2A286F0C"/>
    <w:rsid w:val="2ABB0FF3"/>
    <w:rsid w:val="2B006133"/>
    <w:rsid w:val="2B17347C"/>
    <w:rsid w:val="2B27367F"/>
    <w:rsid w:val="2B2C6A15"/>
    <w:rsid w:val="2B415FA0"/>
    <w:rsid w:val="2B8A00F2"/>
    <w:rsid w:val="2B8C1324"/>
    <w:rsid w:val="2BB32A71"/>
    <w:rsid w:val="2BB95357"/>
    <w:rsid w:val="2BC41856"/>
    <w:rsid w:val="2BE710A1"/>
    <w:rsid w:val="2BF73289"/>
    <w:rsid w:val="2C2C11A9"/>
    <w:rsid w:val="2C307EA2"/>
    <w:rsid w:val="2C74691D"/>
    <w:rsid w:val="2CBD30A9"/>
    <w:rsid w:val="2D1A7254"/>
    <w:rsid w:val="2D572256"/>
    <w:rsid w:val="2D870D8D"/>
    <w:rsid w:val="2DC36921"/>
    <w:rsid w:val="2DCA7799"/>
    <w:rsid w:val="2DD107CA"/>
    <w:rsid w:val="2DD37B2E"/>
    <w:rsid w:val="2DF27168"/>
    <w:rsid w:val="2E3066AA"/>
    <w:rsid w:val="2E4C2F08"/>
    <w:rsid w:val="2E4C739F"/>
    <w:rsid w:val="2E5A3DAC"/>
    <w:rsid w:val="2E7330BF"/>
    <w:rsid w:val="2E8261B4"/>
    <w:rsid w:val="2E8B21B7"/>
    <w:rsid w:val="2EDA4EED"/>
    <w:rsid w:val="2EE93382"/>
    <w:rsid w:val="2F1B2E6A"/>
    <w:rsid w:val="2F257B78"/>
    <w:rsid w:val="2F260139"/>
    <w:rsid w:val="2F2D0284"/>
    <w:rsid w:val="2F57653D"/>
    <w:rsid w:val="2F6C3452"/>
    <w:rsid w:val="2F7000C2"/>
    <w:rsid w:val="2F8379E0"/>
    <w:rsid w:val="2F950E14"/>
    <w:rsid w:val="2FA66A7B"/>
    <w:rsid w:val="2FAA1397"/>
    <w:rsid w:val="2FC21B1A"/>
    <w:rsid w:val="2FDA78F1"/>
    <w:rsid w:val="30281C88"/>
    <w:rsid w:val="306B6443"/>
    <w:rsid w:val="308D6684"/>
    <w:rsid w:val="30B4631B"/>
    <w:rsid w:val="30F54260"/>
    <w:rsid w:val="313A4F8F"/>
    <w:rsid w:val="315A40C3"/>
    <w:rsid w:val="3199108F"/>
    <w:rsid w:val="31AA669F"/>
    <w:rsid w:val="31C45A40"/>
    <w:rsid w:val="31EA2BFF"/>
    <w:rsid w:val="32150FD3"/>
    <w:rsid w:val="321E57AE"/>
    <w:rsid w:val="323E5792"/>
    <w:rsid w:val="3252386D"/>
    <w:rsid w:val="327613D0"/>
    <w:rsid w:val="327B6CC5"/>
    <w:rsid w:val="32C24615"/>
    <w:rsid w:val="32F171E0"/>
    <w:rsid w:val="32F64767"/>
    <w:rsid w:val="33135238"/>
    <w:rsid w:val="33321A81"/>
    <w:rsid w:val="335F1862"/>
    <w:rsid w:val="336D27D3"/>
    <w:rsid w:val="339607A9"/>
    <w:rsid w:val="33A8380B"/>
    <w:rsid w:val="33B32D68"/>
    <w:rsid w:val="33B76D89"/>
    <w:rsid w:val="33CA653C"/>
    <w:rsid w:val="34164C19"/>
    <w:rsid w:val="3434509F"/>
    <w:rsid w:val="344003D4"/>
    <w:rsid w:val="344F3C87"/>
    <w:rsid w:val="347C1ADD"/>
    <w:rsid w:val="34853B4C"/>
    <w:rsid w:val="34E972F9"/>
    <w:rsid w:val="35026F4B"/>
    <w:rsid w:val="350F5064"/>
    <w:rsid w:val="35202C81"/>
    <w:rsid w:val="3563768A"/>
    <w:rsid w:val="356B0126"/>
    <w:rsid w:val="356B4AF0"/>
    <w:rsid w:val="35763E83"/>
    <w:rsid w:val="358C0C7A"/>
    <w:rsid w:val="35CD7559"/>
    <w:rsid w:val="35EB5C31"/>
    <w:rsid w:val="363C094F"/>
    <w:rsid w:val="364041CF"/>
    <w:rsid w:val="366111A1"/>
    <w:rsid w:val="36653C36"/>
    <w:rsid w:val="36810E01"/>
    <w:rsid w:val="36D93CDC"/>
    <w:rsid w:val="36DF3AA7"/>
    <w:rsid w:val="36F570EA"/>
    <w:rsid w:val="36FA26E2"/>
    <w:rsid w:val="372E45A3"/>
    <w:rsid w:val="3732773C"/>
    <w:rsid w:val="37476E97"/>
    <w:rsid w:val="377834F5"/>
    <w:rsid w:val="37B704C1"/>
    <w:rsid w:val="382471D8"/>
    <w:rsid w:val="38BF6164"/>
    <w:rsid w:val="38CD161E"/>
    <w:rsid w:val="38DE25FA"/>
    <w:rsid w:val="38E2312E"/>
    <w:rsid w:val="38E4205E"/>
    <w:rsid w:val="38FA6FB1"/>
    <w:rsid w:val="390E2362"/>
    <w:rsid w:val="391334A5"/>
    <w:rsid w:val="393C5B33"/>
    <w:rsid w:val="3951224F"/>
    <w:rsid w:val="39B27192"/>
    <w:rsid w:val="39B5032A"/>
    <w:rsid w:val="3A1219DE"/>
    <w:rsid w:val="3A1570EE"/>
    <w:rsid w:val="3A257964"/>
    <w:rsid w:val="3A67175D"/>
    <w:rsid w:val="3A746BF3"/>
    <w:rsid w:val="3ABD0B64"/>
    <w:rsid w:val="3B1A1C29"/>
    <w:rsid w:val="3B2C6AD0"/>
    <w:rsid w:val="3B313668"/>
    <w:rsid w:val="3B6C15C2"/>
    <w:rsid w:val="3B8765B4"/>
    <w:rsid w:val="3BBF16F2"/>
    <w:rsid w:val="3BC1190E"/>
    <w:rsid w:val="3BC17641"/>
    <w:rsid w:val="3C073714"/>
    <w:rsid w:val="3C1974AA"/>
    <w:rsid w:val="3C5B03D9"/>
    <w:rsid w:val="3C6109FB"/>
    <w:rsid w:val="3C9C1A33"/>
    <w:rsid w:val="3D0F2205"/>
    <w:rsid w:val="3D211F38"/>
    <w:rsid w:val="3D401C04"/>
    <w:rsid w:val="3D404AB5"/>
    <w:rsid w:val="3D482C92"/>
    <w:rsid w:val="3D540560"/>
    <w:rsid w:val="3D626340"/>
    <w:rsid w:val="3D6822D8"/>
    <w:rsid w:val="3D75621E"/>
    <w:rsid w:val="3D8F3346"/>
    <w:rsid w:val="3DE6565C"/>
    <w:rsid w:val="3DEF4B00"/>
    <w:rsid w:val="3DF7097B"/>
    <w:rsid w:val="3E2241BA"/>
    <w:rsid w:val="3E412892"/>
    <w:rsid w:val="3E4D56DB"/>
    <w:rsid w:val="3E6F7B87"/>
    <w:rsid w:val="3E907376"/>
    <w:rsid w:val="3ED7645B"/>
    <w:rsid w:val="3ED86102"/>
    <w:rsid w:val="3EE230A6"/>
    <w:rsid w:val="3EF913BF"/>
    <w:rsid w:val="3F0B7E50"/>
    <w:rsid w:val="3F1538A4"/>
    <w:rsid w:val="3F424B14"/>
    <w:rsid w:val="3F7877A9"/>
    <w:rsid w:val="3FA550A3"/>
    <w:rsid w:val="3FC72E2C"/>
    <w:rsid w:val="3FE26F6C"/>
    <w:rsid w:val="3FE94F8F"/>
    <w:rsid w:val="401D4517"/>
    <w:rsid w:val="4046336F"/>
    <w:rsid w:val="4055509E"/>
    <w:rsid w:val="40650A63"/>
    <w:rsid w:val="409C0597"/>
    <w:rsid w:val="409E221E"/>
    <w:rsid w:val="40AA3C0C"/>
    <w:rsid w:val="40D439F8"/>
    <w:rsid w:val="40D54F73"/>
    <w:rsid w:val="40F736DC"/>
    <w:rsid w:val="40FA41D3"/>
    <w:rsid w:val="4114110C"/>
    <w:rsid w:val="4114428E"/>
    <w:rsid w:val="411F67C7"/>
    <w:rsid w:val="41566655"/>
    <w:rsid w:val="41676AB4"/>
    <w:rsid w:val="416A2100"/>
    <w:rsid w:val="417D58F7"/>
    <w:rsid w:val="41DF73B7"/>
    <w:rsid w:val="41FE630B"/>
    <w:rsid w:val="421A3B26"/>
    <w:rsid w:val="42215E43"/>
    <w:rsid w:val="42362E92"/>
    <w:rsid w:val="423B423F"/>
    <w:rsid w:val="42554CFF"/>
    <w:rsid w:val="427A6373"/>
    <w:rsid w:val="427E23AB"/>
    <w:rsid w:val="42C770F1"/>
    <w:rsid w:val="436A4639"/>
    <w:rsid w:val="439B3F9B"/>
    <w:rsid w:val="43B34232"/>
    <w:rsid w:val="43B97970"/>
    <w:rsid w:val="43D33214"/>
    <w:rsid w:val="43D558A5"/>
    <w:rsid w:val="440E76BA"/>
    <w:rsid w:val="44116432"/>
    <w:rsid w:val="4442271D"/>
    <w:rsid w:val="44911538"/>
    <w:rsid w:val="44A65137"/>
    <w:rsid w:val="44AD5854"/>
    <w:rsid w:val="44AF21C8"/>
    <w:rsid w:val="44E25ED9"/>
    <w:rsid w:val="45832219"/>
    <w:rsid w:val="45B80FBE"/>
    <w:rsid w:val="45C81AEB"/>
    <w:rsid w:val="45DF1F1C"/>
    <w:rsid w:val="460A43BB"/>
    <w:rsid w:val="462718C1"/>
    <w:rsid w:val="463A4797"/>
    <w:rsid w:val="46412B93"/>
    <w:rsid w:val="464C0B8F"/>
    <w:rsid w:val="468E6891"/>
    <w:rsid w:val="4693757A"/>
    <w:rsid w:val="46DD15C6"/>
    <w:rsid w:val="46FF0280"/>
    <w:rsid w:val="47060B1D"/>
    <w:rsid w:val="471F05FB"/>
    <w:rsid w:val="473311E6"/>
    <w:rsid w:val="47B0113A"/>
    <w:rsid w:val="47D30184"/>
    <w:rsid w:val="48141018"/>
    <w:rsid w:val="48254FD3"/>
    <w:rsid w:val="48757D08"/>
    <w:rsid w:val="487853DA"/>
    <w:rsid w:val="48790E7B"/>
    <w:rsid w:val="48B3768C"/>
    <w:rsid w:val="49066BB2"/>
    <w:rsid w:val="49596459"/>
    <w:rsid w:val="49604537"/>
    <w:rsid w:val="498D2E30"/>
    <w:rsid w:val="49C34AA3"/>
    <w:rsid w:val="49D10E80"/>
    <w:rsid w:val="49EF4246"/>
    <w:rsid w:val="4A30453E"/>
    <w:rsid w:val="4A372D9B"/>
    <w:rsid w:val="4A9C1109"/>
    <w:rsid w:val="4A9F240F"/>
    <w:rsid w:val="4AEE78FE"/>
    <w:rsid w:val="4B0E0E54"/>
    <w:rsid w:val="4B1B43AF"/>
    <w:rsid w:val="4B577B99"/>
    <w:rsid w:val="4B8027B2"/>
    <w:rsid w:val="4BAC7877"/>
    <w:rsid w:val="4BCD39B7"/>
    <w:rsid w:val="4BEB02E1"/>
    <w:rsid w:val="4BFE00D6"/>
    <w:rsid w:val="4C2D252F"/>
    <w:rsid w:val="4C40062D"/>
    <w:rsid w:val="4C6F1CFA"/>
    <w:rsid w:val="4C7C718B"/>
    <w:rsid w:val="4C950865"/>
    <w:rsid w:val="4D2A6BE7"/>
    <w:rsid w:val="4D2E492A"/>
    <w:rsid w:val="4D4203D5"/>
    <w:rsid w:val="4D48035B"/>
    <w:rsid w:val="4D4C2C93"/>
    <w:rsid w:val="4D6B3488"/>
    <w:rsid w:val="4D844549"/>
    <w:rsid w:val="4DF41807"/>
    <w:rsid w:val="4E1458CD"/>
    <w:rsid w:val="4E451F2B"/>
    <w:rsid w:val="4EA54FDB"/>
    <w:rsid w:val="4EBD3AB8"/>
    <w:rsid w:val="4EC138D9"/>
    <w:rsid w:val="4EC67822"/>
    <w:rsid w:val="4F3B332E"/>
    <w:rsid w:val="4F4E005F"/>
    <w:rsid w:val="4F6C798B"/>
    <w:rsid w:val="4F894099"/>
    <w:rsid w:val="4FA2515B"/>
    <w:rsid w:val="4FB40391"/>
    <w:rsid w:val="4FED36EF"/>
    <w:rsid w:val="4FF12BA5"/>
    <w:rsid w:val="4FF83CE5"/>
    <w:rsid w:val="50192F9D"/>
    <w:rsid w:val="501D0B25"/>
    <w:rsid w:val="503E1024"/>
    <w:rsid w:val="509B2AE5"/>
    <w:rsid w:val="50A372C0"/>
    <w:rsid w:val="50A40D66"/>
    <w:rsid w:val="50A410CE"/>
    <w:rsid w:val="50FF5CC6"/>
    <w:rsid w:val="51055641"/>
    <w:rsid w:val="516052CE"/>
    <w:rsid w:val="517329AF"/>
    <w:rsid w:val="5177331C"/>
    <w:rsid w:val="51992F95"/>
    <w:rsid w:val="51CE27D0"/>
    <w:rsid w:val="51DB4734"/>
    <w:rsid w:val="51EB2DE9"/>
    <w:rsid w:val="5240491E"/>
    <w:rsid w:val="524810E8"/>
    <w:rsid w:val="52971FC1"/>
    <w:rsid w:val="52A122EE"/>
    <w:rsid w:val="52B81B37"/>
    <w:rsid w:val="52C80068"/>
    <w:rsid w:val="52E96A4D"/>
    <w:rsid w:val="5310681A"/>
    <w:rsid w:val="53143F28"/>
    <w:rsid w:val="531719BC"/>
    <w:rsid w:val="532C190B"/>
    <w:rsid w:val="53551D8A"/>
    <w:rsid w:val="53567FA8"/>
    <w:rsid w:val="537A4340"/>
    <w:rsid w:val="53CF5FBF"/>
    <w:rsid w:val="53D252D2"/>
    <w:rsid w:val="53E45BE4"/>
    <w:rsid w:val="53EA75FE"/>
    <w:rsid w:val="53F57F4F"/>
    <w:rsid w:val="540D7877"/>
    <w:rsid w:val="5415414D"/>
    <w:rsid w:val="541D74A6"/>
    <w:rsid w:val="54256D18"/>
    <w:rsid w:val="54513D62"/>
    <w:rsid w:val="545A24A8"/>
    <w:rsid w:val="5478382E"/>
    <w:rsid w:val="548656FA"/>
    <w:rsid w:val="54CA7EE6"/>
    <w:rsid w:val="55061CE8"/>
    <w:rsid w:val="55144405"/>
    <w:rsid w:val="552770F4"/>
    <w:rsid w:val="554C3893"/>
    <w:rsid w:val="55752DD3"/>
    <w:rsid w:val="559B68D4"/>
    <w:rsid w:val="55A541B8"/>
    <w:rsid w:val="567A6461"/>
    <w:rsid w:val="56935B78"/>
    <w:rsid w:val="56F206EB"/>
    <w:rsid w:val="570D5C67"/>
    <w:rsid w:val="57905DFE"/>
    <w:rsid w:val="57F31B4D"/>
    <w:rsid w:val="580E7831"/>
    <w:rsid w:val="58421289"/>
    <w:rsid w:val="589549C1"/>
    <w:rsid w:val="58A41F44"/>
    <w:rsid w:val="58E5406A"/>
    <w:rsid w:val="58FF18EE"/>
    <w:rsid w:val="590B4CAF"/>
    <w:rsid w:val="590D1897"/>
    <w:rsid w:val="59126EAD"/>
    <w:rsid w:val="59691E36"/>
    <w:rsid w:val="5988716F"/>
    <w:rsid w:val="599205A1"/>
    <w:rsid w:val="59961CEE"/>
    <w:rsid w:val="59B16B93"/>
    <w:rsid w:val="59C75EEA"/>
    <w:rsid w:val="5A0A4142"/>
    <w:rsid w:val="5A1949F4"/>
    <w:rsid w:val="5A2E5F69"/>
    <w:rsid w:val="5A382944"/>
    <w:rsid w:val="5A513A05"/>
    <w:rsid w:val="5A7D47FA"/>
    <w:rsid w:val="5A84202D"/>
    <w:rsid w:val="5A970AC8"/>
    <w:rsid w:val="5A987886"/>
    <w:rsid w:val="5AC32448"/>
    <w:rsid w:val="5AEA4E4D"/>
    <w:rsid w:val="5AF32C10"/>
    <w:rsid w:val="5B0311A3"/>
    <w:rsid w:val="5B3A26EB"/>
    <w:rsid w:val="5B9D1D5D"/>
    <w:rsid w:val="5BE34B31"/>
    <w:rsid w:val="5C071976"/>
    <w:rsid w:val="5C851E0D"/>
    <w:rsid w:val="5C9C07E8"/>
    <w:rsid w:val="5C9C18B0"/>
    <w:rsid w:val="5CD87E1C"/>
    <w:rsid w:val="5CFA0384"/>
    <w:rsid w:val="5D282774"/>
    <w:rsid w:val="5D2E2574"/>
    <w:rsid w:val="5D550132"/>
    <w:rsid w:val="5D6029B0"/>
    <w:rsid w:val="5D6A65F1"/>
    <w:rsid w:val="5DA31A6E"/>
    <w:rsid w:val="5DAF4ECD"/>
    <w:rsid w:val="5DB9023F"/>
    <w:rsid w:val="5DBC45AF"/>
    <w:rsid w:val="5DC276CB"/>
    <w:rsid w:val="5DC82230"/>
    <w:rsid w:val="5DD63AC6"/>
    <w:rsid w:val="5E0037FD"/>
    <w:rsid w:val="5E3C65CD"/>
    <w:rsid w:val="5E7C4D34"/>
    <w:rsid w:val="5E960581"/>
    <w:rsid w:val="5FC5111D"/>
    <w:rsid w:val="5FD16B14"/>
    <w:rsid w:val="5FDC7A08"/>
    <w:rsid w:val="5FEA69EB"/>
    <w:rsid w:val="60142C3C"/>
    <w:rsid w:val="607641C6"/>
    <w:rsid w:val="60912DAE"/>
    <w:rsid w:val="609603C4"/>
    <w:rsid w:val="60A06A72"/>
    <w:rsid w:val="60AA20C1"/>
    <w:rsid w:val="60E2732E"/>
    <w:rsid w:val="60E27722"/>
    <w:rsid w:val="60FD5EC0"/>
    <w:rsid w:val="60FF065F"/>
    <w:rsid w:val="610B7004"/>
    <w:rsid w:val="61161C20"/>
    <w:rsid w:val="61572621"/>
    <w:rsid w:val="616D0E78"/>
    <w:rsid w:val="616E494E"/>
    <w:rsid w:val="61736957"/>
    <w:rsid w:val="6175447D"/>
    <w:rsid w:val="61AA3D59"/>
    <w:rsid w:val="62314848"/>
    <w:rsid w:val="623F2914"/>
    <w:rsid w:val="62851A7B"/>
    <w:rsid w:val="628E32CD"/>
    <w:rsid w:val="62BC7E8A"/>
    <w:rsid w:val="62C97EC1"/>
    <w:rsid w:val="630755A9"/>
    <w:rsid w:val="63161C90"/>
    <w:rsid w:val="63247F09"/>
    <w:rsid w:val="63607727"/>
    <w:rsid w:val="637075F2"/>
    <w:rsid w:val="637E751D"/>
    <w:rsid w:val="638C00E4"/>
    <w:rsid w:val="638C3D00"/>
    <w:rsid w:val="63A31776"/>
    <w:rsid w:val="63E837C0"/>
    <w:rsid w:val="64004EF8"/>
    <w:rsid w:val="642145AD"/>
    <w:rsid w:val="64354398"/>
    <w:rsid w:val="64730B57"/>
    <w:rsid w:val="64A77A42"/>
    <w:rsid w:val="64D57D88"/>
    <w:rsid w:val="64D709C5"/>
    <w:rsid w:val="64F66B6E"/>
    <w:rsid w:val="65036133"/>
    <w:rsid w:val="65362BDA"/>
    <w:rsid w:val="654869B2"/>
    <w:rsid w:val="65A45331"/>
    <w:rsid w:val="65AC068A"/>
    <w:rsid w:val="65D101DE"/>
    <w:rsid w:val="65EB11B2"/>
    <w:rsid w:val="66583F5E"/>
    <w:rsid w:val="669015B7"/>
    <w:rsid w:val="66A17AC3"/>
    <w:rsid w:val="66C043ED"/>
    <w:rsid w:val="66D772C4"/>
    <w:rsid w:val="66EE7979"/>
    <w:rsid w:val="66EF5AF8"/>
    <w:rsid w:val="673979C5"/>
    <w:rsid w:val="674A094A"/>
    <w:rsid w:val="6770036D"/>
    <w:rsid w:val="67B00EEE"/>
    <w:rsid w:val="67DB0DB2"/>
    <w:rsid w:val="67ED71FD"/>
    <w:rsid w:val="67FC76A6"/>
    <w:rsid w:val="68543E5E"/>
    <w:rsid w:val="685E5C6B"/>
    <w:rsid w:val="68703BF0"/>
    <w:rsid w:val="68826ACC"/>
    <w:rsid w:val="68863414"/>
    <w:rsid w:val="68D53CDB"/>
    <w:rsid w:val="68EF2D67"/>
    <w:rsid w:val="691358AB"/>
    <w:rsid w:val="691737EF"/>
    <w:rsid w:val="69554A42"/>
    <w:rsid w:val="69643755"/>
    <w:rsid w:val="697D0373"/>
    <w:rsid w:val="69894F6A"/>
    <w:rsid w:val="699509B7"/>
    <w:rsid w:val="69B544D1"/>
    <w:rsid w:val="69D5678D"/>
    <w:rsid w:val="69F163CE"/>
    <w:rsid w:val="69FD7706"/>
    <w:rsid w:val="6A0F1D94"/>
    <w:rsid w:val="6A1C2F60"/>
    <w:rsid w:val="6A2912F9"/>
    <w:rsid w:val="6A4D41E9"/>
    <w:rsid w:val="6A527A52"/>
    <w:rsid w:val="6A752A5B"/>
    <w:rsid w:val="6B0F628A"/>
    <w:rsid w:val="6B1E137F"/>
    <w:rsid w:val="6B2C262A"/>
    <w:rsid w:val="6B4B0599"/>
    <w:rsid w:val="6B5E7327"/>
    <w:rsid w:val="6B6E5468"/>
    <w:rsid w:val="6B9320D0"/>
    <w:rsid w:val="6BD61FBC"/>
    <w:rsid w:val="6BE95765"/>
    <w:rsid w:val="6C475B83"/>
    <w:rsid w:val="6C6E7319"/>
    <w:rsid w:val="6C7A503E"/>
    <w:rsid w:val="6C8934D3"/>
    <w:rsid w:val="6C8D3B4B"/>
    <w:rsid w:val="6CCF6157"/>
    <w:rsid w:val="6D21370B"/>
    <w:rsid w:val="6D255D0D"/>
    <w:rsid w:val="6D2B6338"/>
    <w:rsid w:val="6D8A6691"/>
    <w:rsid w:val="6DC62913"/>
    <w:rsid w:val="6DE81093"/>
    <w:rsid w:val="6E1B45FE"/>
    <w:rsid w:val="6E296DAE"/>
    <w:rsid w:val="6E6054CF"/>
    <w:rsid w:val="6EBF7433"/>
    <w:rsid w:val="6EDF7C07"/>
    <w:rsid w:val="6EE7296D"/>
    <w:rsid w:val="6F0D111A"/>
    <w:rsid w:val="6F276F30"/>
    <w:rsid w:val="6F321C00"/>
    <w:rsid w:val="6F55769C"/>
    <w:rsid w:val="6F5C3995"/>
    <w:rsid w:val="6F6D1AA5"/>
    <w:rsid w:val="6FB10D76"/>
    <w:rsid w:val="6FBE2F8F"/>
    <w:rsid w:val="6FE23C3A"/>
    <w:rsid w:val="6FF13869"/>
    <w:rsid w:val="6FFD3FBC"/>
    <w:rsid w:val="709A7430"/>
    <w:rsid w:val="70B64CD9"/>
    <w:rsid w:val="70CE1F7A"/>
    <w:rsid w:val="70DE6FFB"/>
    <w:rsid w:val="70EB650A"/>
    <w:rsid w:val="70F57389"/>
    <w:rsid w:val="71161F56"/>
    <w:rsid w:val="715A71EC"/>
    <w:rsid w:val="715F2A54"/>
    <w:rsid w:val="71750972"/>
    <w:rsid w:val="7185561A"/>
    <w:rsid w:val="71A548A6"/>
    <w:rsid w:val="71BB2380"/>
    <w:rsid w:val="71F820D6"/>
    <w:rsid w:val="724C4250"/>
    <w:rsid w:val="725D7041"/>
    <w:rsid w:val="727D7636"/>
    <w:rsid w:val="72A36E41"/>
    <w:rsid w:val="72A42E14"/>
    <w:rsid w:val="72B1518D"/>
    <w:rsid w:val="72DB610A"/>
    <w:rsid w:val="72FD2525"/>
    <w:rsid w:val="72FE14BF"/>
    <w:rsid w:val="731A007D"/>
    <w:rsid w:val="733446AD"/>
    <w:rsid w:val="73497518"/>
    <w:rsid w:val="7363682B"/>
    <w:rsid w:val="738467A2"/>
    <w:rsid w:val="74230FF4"/>
    <w:rsid w:val="744A3547"/>
    <w:rsid w:val="74506A0E"/>
    <w:rsid w:val="74510C07"/>
    <w:rsid w:val="747B454C"/>
    <w:rsid w:val="749A6E45"/>
    <w:rsid w:val="74B46920"/>
    <w:rsid w:val="74DD3870"/>
    <w:rsid w:val="74DE5DD9"/>
    <w:rsid w:val="74EE4F33"/>
    <w:rsid w:val="750E0A19"/>
    <w:rsid w:val="751F6782"/>
    <w:rsid w:val="754B3A1B"/>
    <w:rsid w:val="7582336F"/>
    <w:rsid w:val="75D302FB"/>
    <w:rsid w:val="75D7705D"/>
    <w:rsid w:val="75E55F4D"/>
    <w:rsid w:val="75F53987"/>
    <w:rsid w:val="764304AB"/>
    <w:rsid w:val="766A4BBD"/>
    <w:rsid w:val="766E79D6"/>
    <w:rsid w:val="7671125F"/>
    <w:rsid w:val="7676295D"/>
    <w:rsid w:val="768076F4"/>
    <w:rsid w:val="769136B0"/>
    <w:rsid w:val="76AB57A0"/>
    <w:rsid w:val="76CC7CC7"/>
    <w:rsid w:val="76DF08BF"/>
    <w:rsid w:val="771D1C55"/>
    <w:rsid w:val="77227E54"/>
    <w:rsid w:val="7763329E"/>
    <w:rsid w:val="778356EE"/>
    <w:rsid w:val="778B071D"/>
    <w:rsid w:val="77985FBE"/>
    <w:rsid w:val="77C677ED"/>
    <w:rsid w:val="77F710EB"/>
    <w:rsid w:val="78112CFA"/>
    <w:rsid w:val="782102D7"/>
    <w:rsid w:val="78280044"/>
    <w:rsid w:val="7848178C"/>
    <w:rsid w:val="78C6353E"/>
    <w:rsid w:val="78CD7367"/>
    <w:rsid w:val="791349A0"/>
    <w:rsid w:val="796230E1"/>
    <w:rsid w:val="797C0647"/>
    <w:rsid w:val="79825532"/>
    <w:rsid w:val="79894B12"/>
    <w:rsid w:val="798A4233"/>
    <w:rsid w:val="79B25E17"/>
    <w:rsid w:val="79C432CC"/>
    <w:rsid w:val="7A120583"/>
    <w:rsid w:val="7A131A5F"/>
    <w:rsid w:val="7A392094"/>
    <w:rsid w:val="7A7E219D"/>
    <w:rsid w:val="7ABB26A3"/>
    <w:rsid w:val="7ACB4CB6"/>
    <w:rsid w:val="7B2811A6"/>
    <w:rsid w:val="7B3F373C"/>
    <w:rsid w:val="7BBC11CF"/>
    <w:rsid w:val="7BD5403F"/>
    <w:rsid w:val="7C1C6A9B"/>
    <w:rsid w:val="7C3E7E36"/>
    <w:rsid w:val="7C6F0276"/>
    <w:rsid w:val="7C717CE9"/>
    <w:rsid w:val="7C8F68E3"/>
    <w:rsid w:val="7C947A56"/>
    <w:rsid w:val="7CB315B9"/>
    <w:rsid w:val="7D1E37C3"/>
    <w:rsid w:val="7D2C615F"/>
    <w:rsid w:val="7D642E2E"/>
    <w:rsid w:val="7D6E4B7A"/>
    <w:rsid w:val="7D7B08DA"/>
    <w:rsid w:val="7DCF1A52"/>
    <w:rsid w:val="7DE939CB"/>
    <w:rsid w:val="7DEB53FA"/>
    <w:rsid w:val="7DF74740"/>
    <w:rsid w:val="7DF96991"/>
    <w:rsid w:val="7E140B0F"/>
    <w:rsid w:val="7E2552E0"/>
    <w:rsid w:val="7E296EED"/>
    <w:rsid w:val="7E2E3EDA"/>
    <w:rsid w:val="7E3F1C43"/>
    <w:rsid w:val="7E491FC4"/>
    <w:rsid w:val="7E4C369D"/>
    <w:rsid w:val="7E835FD4"/>
    <w:rsid w:val="7EEC1DCB"/>
    <w:rsid w:val="7F364DF4"/>
    <w:rsid w:val="7F673200"/>
    <w:rsid w:val="7F7B4EFD"/>
    <w:rsid w:val="7F8A3392"/>
    <w:rsid w:val="7F97298E"/>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outlineLvl w:val="2"/>
    </w:pPr>
  </w:style>
  <w:style w:type="paragraph" w:styleId="5">
    <w:name w:val="heading 4"/>
    <w:basedOn w:val="4"/>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 w:type="paragraph" w:customStyle="1" w:styleId="68">
    <w:name w:val="3GPP Normal Text"/>
    <w:basedOn w:val="8"/>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1348</Words>
  <Characters>7235</Characters>
  <Lines>21</Lines>
  <Paragraphs>6</Paragraphs>
  <TotalTime>15</TotalTime>
  <ScaleCrop>false</ScaleCrop>
  <LinksUpToDate>false</LinksUpToDate>
  <CharactersWithSpaces>8490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2024-11-08T10:50:57Z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2052-12.1.0.18608</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ies>
</file>